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979" w14:textId="766B051B" w:rsidR="00643CE7" w:rsidRPr="003E6AE3" w:rsidRDefault="00643CE7" w:rsidP="008E1253">
      <w:pPr>
        <w:spacing w:line="240" w:lineRule="auto"/>
        <w:jc w:val="right"/>
        <w:rPr>
          <w:rFonts w:eastAsia="Arial" w:cs="Times New Roman"/>
          <w:szCs w:val="24"/>
          <w:lang w:eastAsia="cs-CZ"/>
        </w:rPr>
      </w:pPr>
      <w:r w:rsidRPr="003E6AE3">
        <w:rPr>
          <w:rFonts w:eastAsia="Arial" w:cs="Times New Roman"/>
          <w:szCs w:val="24"/>
          <w:lang w:eastAsia="cs-CZ"/>
        </w:rPr>
        <w:t>V</w:t>
      </w:r>
      <w:r w:rsidR="00E20560" w:rsidRPr="003E6AE3">
        <w:rPr>
          <w:rFonts w:eastAsia="Arial" w:cs="Times New Roman"/>
          <w:szCs w:val="24"/>
          <w:lang w:eastAsia="cs-CZ"/>
        </w:rPr>
        <w:t>.</w:t>
      </w:r>
    </w:p>
    <w:p w14:paraId="28BFAB2E" w14:textId="77777777" w:rsidR="00643CE7" w:rsidRPr="003E6AE3" w:rsidRDefault="00643CE7" w:rsidP="008E1253">
      <w:pPr>
        <w:spacing w:line="240" w:lineRule="auto"/>
        <w:jc w:val="right"/>
        <w:rPr>
          <w:rFonts w:eastAsia="Arial" w:cs="Times New Roman"/>
          <w:b/>
          <w:bCs/>
          <w:szCs w:val="24"/>
          <w:u w:val="single"/>
          <w:lang w:eastAsia="cs-CZ"/>
        </w:rPr>
      </w:pPr>
    </w:p>
    <w:p w14:paraId="5C16BD7B" w14:textId="11050892" w:rsidR="00643CE7" w:rsidRPr="003E6AE3" w:rsidRDefault="00643CE7" w:rsidP="008E1253">
      <w:pPr>
        <w:spacing w:line="240" w:lineRule="auto"/>
        <w:jc w:val="center"/>
        <w:rPr>
          <w:rFonts w:eastAsia="Arial" w:cs="Times New Roman"/>
          <w:b/>
          <w:szCs w:val="24"/>
          <w:u w:val="single"/>
          <w:lang w:eastAsia="cs-CZ"/>
        </w:rPr>
      </w:pPr>
      <w:r w:rsidRPr="003E6AE3">
        <w:rPr>
          <w:rFonts w:eastAsia="Arial" w:cs="Times New Roman"/>
          <w:b/>
          <w:szCs w:val="24"/>
          <w:u w:val="single"/>
          <w:lang w:eastAsia="cs-CZ"/>
        </w:rPr>
        <w:t>Platn</w:t>
      </w:r>
      <w:r w:rsidR="002E33E8" w:rsidRPr="003E6AE3">
        <w:rPr>
          <w:rFonts w:eastAsia="Arial" w:cs="Times New Roman"/>
          <w:b/>
          <w:szCs w:val="24"/>
          <w:u w:val="single"/>
          <w:lang w:eastAsia="cs-CZ"/>
        </w:rPr>
        <w:t>é</w:t>
      </w:r>
      <w:r w:rsidRPr="003E6AE3">
        <w:rPr>
          <w:rFonts w:eastAsia="Arial" w:cs="Times New Roman"/>
          <w:b/>
          <w:szCs w:val="24"/>
          <w:u w:val="single"/>
          <w:lang w:eastAsia="cs-CZ"/>
        </w:rPr>
        <w:t xml:space="preserve"> znění </w:t>
      </w:r>
      <w:r w:rsidR="00752306" w:rsidRPr="003E6AE3">
        <w:rPr>
          <w:rFonts w:eastAsia="Arial" w:cs="Times New Roman"/>
          <w:b/>
          <w:szCs w:val="24"/>
          <w:u w:val="single"/>
          <w:lang w:eastAsia="cs-CZ"/>
        </w:rPr>
        <w:t xml:space="preserve">trestního řádu </w:t>
      </w:r>
      <w:r w:rsidRPr="003E6AE3">
        <w:rPr>
          <w:rFonts w:eastAsia="Arial" w:cs="Times New Roman"/>
          <w:b/>
          <w:szCs w:val="24"/>
          <w:u w:val="single"/>
          <w:lang w:eastAsia="cs-CZ"/>
        </w:rPr>
        <w:t>s vyznačením navrhovaných změn a doplnění</w:t>
      </w:r>
    </w:p>
    <w:p w14:paraId="7F0E8037" w14:textId="0C8D61B1" w:rsidR="00D51E28" w:rsidRPr="003E6AE3" w:rsidRDefault="00EA1B00" w:rsidP="008E1253">
      <w:pPr>
        <w:tabs>
          <w:tab w:val="left" w:pos="426"/>
        </w:tabs>
        <w:spacing w:line="240" w:lineRule="auto"/>
        <w:jc w:val="center"/>
        <w:rPr>
          <w:rFonts w:eastAsia="Arial" w:cs="Times New Roman"/>
          <w:i/>
          <w:iCs/>
          <w:szCs w:val="24"/>
          <w:lang w:eastAsia="cs-CZ"/>
        </w:rPr>
      </w:pPr>
      <w:r w:rsidRPr="003E6AE3">
        <w:rPr>
          <w:rFonts w:eastAsia="Arial" w:cs="Times New Roman"/>
          <w:i/>
          <w:iCs/>
          <w:szCs w:val="24"/>
          <w:lang w:eastAsia="cs-CZ"/>
        </w:rPr>
        <w:t>(ve znění účinném od 1. 1. 2027)</w:t>
      </w:r>
    </w:p>
    <w:p w14:paraId="6F6FF33E" w14:textId="2B84FBD5" w:rsidR="00643CE7" w:rsidRDefault="00B96CE6" w:rsidP="008E1253">
      <w:pPr>
        <w:spacing w:line="240" w:lineRule="auto"/>
        <w:jc w:val="center"/>
        <w:rPr>
          <w:rFonts w:eastAsia="Calibri" w:cs="Times New Roman"/>
          <w:b/>
          <w:color w:val="FF0000"/>
          <w:szCs w:val="24"/>
          <w:lang w:eastAsia="cs-CZ"/>
        </w:rPr>
      </w:pPr>
      <w:r w:rsidRPr="003E6AE3">
        <w:rPr>
          <w:rFonts w:eastAsia="Calibri" w:cs="Times New Roman"/>
          <w:b/>
          <w:color w:val="FF0000"/>
          <w:szCs w:val="24"/>
          <w:lang w:eastAsia="cs-CZ"/>
        </w:rPr>
        <w:t xml:space="preserve">(ve znění </w:t>
      </w:r>
      <w:r w:rsidR="004467D0" w:rsidRPr="003E6AE3">
        <w:rPr>
          <w:rFonts w:eastAsia="Calibri" w:cs="Times New Roman"/>
          <w:b/>
          <w:color w:val="FF0000"/>
          <w:szCs w:val="24"/>
          <w:lang w:eastAsia="cs-CZ"/>
        </w:rPr>
        <w:t xml:space="preserve">sněmovního </w:t>
      </w:r>
      <w:r w:rsidRPr="003E6AE3">
        <w:rPr>
          <w:rFonts w:eastAsia="Calibri" w:cs="Times New Roman"/>
          <w:b/>
          <w:color w:val="FF0000"/>
          <w:szCs w:val="24"/>
          <w:lang w:eastAsia="cs-CZ"/>
        </w:rPr>
        <w:t xml:space="preserve">tisku </w:t>
      </w:r>
      <w:r w:rsidR="007A5140" w:rsidRPr="003E6AE3">
        <w:rPr>
          <w:rFonts w:eastAsia="Calibri" w:cs="Times New Roman"/>
          <w:b/>
          <w:color w:val="FF0000"/>
          <w:szCs w:val="24"/>
          <w:lang w:eastAsia="cs-CZ"/>
        </w:rPr>
        <w:t>102</w:t>
      </w:r>
      <w:r w:rsidRPr="003E6AE3">
        <w:rPr>
          <w:rFonts w:eastAsia="Calibri" w:cs="Times New Roman"/>
          <w:b/>
          <w:color w:val="FF0000"/>
          <w:szCs w:val="24"/>
          <w:lang w:eastAsia="cs-CZ"/>
        </w:rPr>
        <w:t>)</w:t>
      </w:r>
    </w:p>
    <w:p w14:paraId="3FBD0080" w14:textId="77777777" w:rsidR="005A0FE5" w:rsidRPr="003E6AE3" w:rsidRDefault="005A0FE5" w:rsidP="008E1253">
      <w:pPr>
        <w:spacing w:line="240" w:lineRule="auto"/>
        <w:jc w:val="center"/>
        <w:rPr>
          <w:rFonts w:eastAsia="Calibri" w:cs="Times New Roman"/>
          <w:bCs/>
          <w:color w:val="FF0000"/>
          <w:szCs w:val="24"/>
          <w:lang w:eastAsia="cs-CZ"/>
        </w:rPr>
      </w:pPr>
    </w:p>
    <w:p w14:paraId="759F6B8C" w14:textId="72877E8F" w:rsidR="006755F5" w:rsidRPr="003E6AE3" w:rsidRDefault="006755F5" w:rsidP="008E1253">
      <w:pPr>
        <w:keepNext/>
        <w:spacing w:line="240" w:lineRule="auto"/>
        <w:jc w:val="center"/>
        <w:outlineLvl w:val="1"/>
        <w:rPr>
          <w:rFonts w:eastAsia="Arial" w:cs="Times New Roman"/>
          <w:bCs/>
          <w:szCs w:val="24"/>
          <w:lang w:eastAsia="cs-CZ"/>
        </w:rPr>
      </w:pPr>
      <w:bookmarkStart w:id="0" w:name="_Hlk212140654"/>
      <w:bookmarkStart w:id="1" w:name="_Hlk129939762"/>
      <w:bookmarkStart w:id="2" w:name="_Hlk134091350"/>
      <w:r w:rsidRPr="003E6AE3">
        <w:rPr>
          <w:rFonts w:eastAsia="Arial" w:cs="Times New Roman"/>
          <w:bCs/>
          <w:szCs w:val="24"/>
          <w:lang w:eastAsia="cs-CZ"/>
        </w:rPr>
        <w:t>§ 2</w:t>
      </w:r>
    </w:p>
    <w:p w14:paraId="31290C6F" w14:textId="77777777" w:rsidR="006755F5" w:rsidRPr="003E6AE3" w:rsidRDefault="006755F5" w:rsidP="008E1253">
      <w:pPr>
        <w:spacing w:line="240" w:lineRule="auto"/>
        <w:jc w:val="center"/>
        <w:rPr>
          <w:rFonts w:eastAsia="Arial" w:cs="Times New Roman"/>
          <w:szCs w:val="24"/>
          <w:lang w:eastAsia="cs-CZ"/>
        </w:rPr>
      </w:pPr>
      <w:r w:rsidRPr="003E6AE3">
        <w:rPr>
          <w:rFonts w:eastAsia="Arial" w:cs="Times New Roman"/>
          <w:szCs w:val="24"/>
          <w:lang w:eastAsia="cs-CZ"/>
        </w:rPr>
        <w:t>Základní zásady trestního řízení</w:t>
      </w:r>
    </w:p>
    <w:p w14:paraId="4234E093" w14:textId="0FD0DB18"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 Nikdo nemůže být stíhán jinak než ze zákonných důvodů a způsobem, který stanoví tento zákon.</w:t>
      </w:r>
    </w:p>
    <w:p w14:paraId="0198484A" w14:textId="0BF6F19E"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(2) Dokud pravomocným odsuzujícím rozsudkem soudu není vina vyslovena, nelze na</w:t>
      </w:r>
      <w:r w:rsidR="003E6AE3">
        <w:rPr>
          <w:rFonts w:eastAsia="Arial" w:cs="Times New Roman"/>
          <w:szCs w:val="24"/>
          <w:lang w:eastAsia="cs-CZ"/>
        </w:rPr>
        <w:t> </w:t>
      </w:r>
      <w:r w:rsidRPr="003E6AE3">
        <w:rPr>
          <w:rFonts w:eastAsia="Arial" w:cs="Times New Roman"/>
          <w:szCs w:val="24"/>
          <w:lang w:eastAsia="cs-CZ"/>
        </w:rPr>
        <w:t>toho, proti němuž se vede trestní řízení, hledět, jako by byl vinen.</w:t>
      </w:r>
    </w:p>
    <w:p w14:paraId="4A19ED0A" w14:textId="6059D7A6"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(3) Státní zástupce je povinen stíhat všechny trestné činy, o nichž se dozví, pokud zákon, přímo použitelný předpis Evropské unie nebo vyhlášená mezinárodní smlouva, kterou je Česká republika vázána, nestanoví jinak.</w:t>
      </w:r>
    </w:p>
    <w:p w14:paraId="57DCC8B0" w14:textId="5F9291C6" w:rsid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(4) Jestliže tento zákon nestanoví něco jiného, postupují orgány činné v trestním řízení z úřední povinnosti. Trestní věci musí projednávat urychleně bez zbytečných průtahů; s největším urychlením projednávají zejména vazební věci a věci, ve kterých byl zajištěn majetek, je-li to zapotřebí vzhledem k hodnotě a povaze zajištěného majetku. Trestní věci projednávají s plným šetřením práv a svobod zaručených Listinou základních práv a svobod a</w:t>
      </w:r>
      <w:r w:rsidR="003E6AE3">
        <w:rPr>
          <w:rFonts w:eastAsia="Arial" w:cs="Times New Roman"/>
          <w:szCs w:val="24"/>
          <w:lang w:eastAsia="cs-CZ"/>
        </w:rPr>
        <w:t> </w:t>
      </w:r>
      <w:r w:rsidRPr="003E6AE3">
        <w:rPr>
          <w:rFonts w:eastAsia="Arial" w:cs="Times New Roman"/>
          <w:szCs w:val="24"/>
          <w:lang w:eastAsia="cs-CZ"/>
        </w:rPr>
        <w:t>mezinárodními smlouvami o lidských právech a základních svobodách, jimiž je Česká republika vázána; při provádění úkonů trestního řízení lze do těchto práv osob, jichž se takové úkony dotýkají, zasahovat jen v odůvodněných případech na základě zákona a v nezbytné míře pro zajištění účelu trestního řízení. K obsahu petic zasahujících do plnění těchto povinností orgány činné v trestním řízení nepřihlížejí.</w:t>
      </w:r>
    </w:p>
    <w:p w14:paraId="37686537" w14:textId="739C6F8C" w:rsidR="005A0FE5" w:rsidRPr="00303DA7" w:rsidRDefault="005A0FE5" w:rsidP="00F65B30">
      <w:pPr>
        <w:spacing w:line="240" w:lineRule="auto"/>
        <w:ind w:firstLine="426"/>
        <w:rPr>
          <w:rFonts w:cs="Times New Roman"/>
          <w:b/>
          <w:bCs/>
          <w:szCs w:val="24"/>
        </w:rPr>
      </w:pPr>
      <w:r w:rsidRPr="003E6AE3">
        <w:rPr>
          <w:rFonts w:eastAsia="Arial" w:cs="Times New Roman"/>
          <w:szCs w:val="24"/>
          <w:lang w:eastAsia="cs-CZ"/>
        </w:rPr>
        <w:t>(5) Orgány činné v trestním řízení postupují v souladu se svými právy a povinnostmi uvedenými v tomto zákoně a za součinnosti stran tak, aby byl zjištěn skutkový stav věci, o němž nejsou důvodné pochybnosti, a to v rozsahu, který je nezbytný pro jejich rozhodnutí. Doznání obviněného nezbavuje orgány činné v trestním řízení povinnosti přezkoumat všechny podstatné okolnosti případu. V přípravném řízení orgány činné v trestním řízení objasňují způsobem uvedeným v tomto zákoně i bez návrhu stran stejně pečlivě okolnosti svědčící ve</w:t>
      </w:r>
      <w:r w:rsidR="003E6AE3">
        <w:rPr>
          <w:rFonts w:eastAsia="Arial" w:cs="Times New Roman"/>
          <w:szCs w:val="24"/>
          <w:lang w:eastAsia="cs-CZ"/>
        </w:rPr>
        <w:t> </w:t>
      </w:r>
      <w:r w:rsidRPr="003E6AE3">
        <w:rPr>
          <w:rFonts w:eastAsia="Arial" w:cs="Times New Roman"/>
          <w:szCs w:val="24"/>
          <w:lang w:eastAsia="cs-CZ"/>
        </w:rPr>
        <w:t>prospěch i v neprospěch osoby, proti níž se řízení vede. V řízení před soudem státní zástupce a obviněný mohou na podporu svých stanovisek navrhovat a provádět důkazy. Státní zástupce je povinen dokazovat vinu obžalovaného</w:t>
      </w:r>
      <w:r w:rsidR="008C1DBC">
        <w:rPr>
          <w:rFonts w:eastAsia="Arial" w:cs="Times New Roman"/>
          <w:b/>
          <w:bCs/>
          <w:szCs w:val="24"/>
          <w:lang w:eastAsia="cs-CZ"/>
        </w:rPr>
        <w:t>; p</w:t>
      </w:r>
      <w:r w:rsidR="008C1DBC" w:rsidRPr="00365453">
        <w:rPr>
          <w:rFonts w:eastAsia="Arial" w:cs="Times New Roman"/>
          <w:b/>
          <w:bCs/>
          <w:szCs w:val="24"/>
          <w:lang w:eastAsia="cs-CZ"/>
        </w:rPr>
        <w:t xml:space="preserve">okud </w:t>
      </w:r>
      <w:r w:rsidR="008C1DBC" w:rsidRPr="00365453">
        <w:rPr>
          <w:rFonts w:cs="Times New Roman"/>
          <w:b/>
          <w:bCs/>
          <w:szCs w:val="24"/>
        </w:rPr>
        <w:t>zjistí, že důkaz dříve neznámý by mohl svědčit ve prospěch ob</w:t>
      </w:r>
      <w:r w:rsidR="00D573AE">
        <w:rPr>
          <w:rFonts w:cs="Times New Roman"/>
          <w:b/>
          <w:bCs/>
          <w:szCs w:val="24"/>
        </w:rPr>
        <w:t>žalovaného</w:t>
      </w:r>
      <w:r w:rsidR="008C1DBC">
        <w:rPr>
          <w:rFonts w:cs="Times New Roman"/>
          <w:b/>
          <w:bCs/>
          <w:szCs w:val="24"/>
        </w:rPr>
        <w:t>, nesmí takový důkaz zatajit</w:t>
      </w:r>
      <w:r w:rsidR="008C1DBC" w:rsidRPr="00E83008">
        <w:rPr>
          <w:rFonts w:cs="Times New Roman"/>
          <w:szCs w:val="24"/>
        </w:rPr>
        <w:t>.</w:t>
      </w:r>
      <w:r w:rsidRPr="00E83008">
        <w:rPr>
          <w:rFonts w:eastAsia="Arial" w:cs="Times New Roman"/>
          <w:szCs w:val="24"/>
          <w:lang w:eastAsia="cs-CZ"/>
        </w:rPr>
        <w:t xml:space="preserve"> </w:t>
      </w:r>
      <w:r w:rsidRPr="003E6AE3">
        <w:rPr>
          <w:rFonts w:eastAsia="Arial" w:cs="Times New Roman"/>
          <w:szCs w:val="24"/>
          <w:lang w:eastAsia="cs-CZ"/>
        </w:rPr>
        <w:t>To nezbavuje soud povinnosti, aby sám doplnil dokazování v rozsahu potřebném pro své rozhodnutí.</w:t>
      </w:r>
      <w:r w:rsidR="00D77055">
        <w:rPr>
          <w:rFonts w:eastAsia="Arial" w:cs="Times New Roman"/>
          <w:szCs w:val="24"/>
          <w:lang w:eastAsia="cs-CZ"/>
        </w:rPr>
        <w:t xml:space="preserve"> </w:t>
      </w:r>
    </w:p>
    <w:p w14:paraId="3AFFBDE1" w14:textId="3690A690"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(6) Orgány činné v trestním řízení hodnotí důkazy podle svého vnitřního přesvědčení založeného na pečlivém uvážení všech okolností případu jednotlivě i v jejich souhrnu.</w:t>
      </w:r>
    </w:p>
    <w:p w14:paraId="002444D9" w14:textId="6652AF30"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(7) Všechny orgány činné v trestním řízení spolupracují se zájmovými sdruženími občanů a využívají jejich výchovného působení.</w:t>
      </w:r>
    </w:p>
    <w:p w14:paraId="0A71DFB9" w14:textId="0D17AC37"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(8) Trestní stíhání před soudy je možné jen na základě obžaloby, návrhu na potrestání nebo návrhu na schválení dohody o prohlášení viny a přijetí trestu (dále jen „dohoda o vině a trestu“), které podává státní zástupce. Veřejnou žalobu v řízení před soudem zastupuje státní zástupce.</w:t>
      </w:r>
    </w:p>
    <w:p w14:paraId="2078FAA6" w14:textId="60368369"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lastRenderedPageBreak/>
        <w:t>(9) V trestním řízení před soudem rozhoduje senát nebo samosoudce; předseda senátu rozhoduje sám jen tam, kde to zákon výslovně stanoví. Rozhoduje-li v přípravném řízení soud v prvním stupni, rozhodnutí činí soudce.</w:t>
      </w:r>
    </w:p>
    <w:p w14:paraId="5C347A3C" w14:textId="69632A58"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(10) Trestní věci se před soudem projednávají veřejně tak, aby se občané mohli projednávání zúčastnit a jednání sledovat. Při hlavním líčení a veřejném zasedání smí být veřejnost vyloučena jen v případech výslovně stanovených v tomto nebo zvláštním zákoně.</w:t>
      </w:r>
    </w:p>
    <w:p w14:paraId="64423805" w14:textId="1C5C73AC"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(11) Jednání před soudy je ústní; důkaz výpověďmi svědků, znalců a obviněného se provádí zpravidla tak, že se tyto osoby vyslýchají.</w:t>
      </w:r>
    </w:p>
    <w:p w14:paraId="5AF0FFDC" w14:textId="21CE5112"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(12) Při rozhodování v hlavním líčení, jakož i ve veřejném, vazebním a neveřejném zasedání smí soud přihlédnout jen k těm důkazům, které byly při tomto jednání provedeny.</w:t>
      </w:r>
    </w:p>
    <w:p w14:paraId="6A948AB6" w14:textId="0308F33D"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(13) Ten, proti němuž se trestní řízení vede, musí být v každém období řízení vhodným způsobem a srozumitelně poučen o právech umožňujících mu plné uplatnění obhajoby a o tom, že si též může zvolit obhájce; všechny orgány činné v trestním řízení jsou povinny umožnit mu uplatnění jeho práv.</w:t>
      </w:r>
    </w:p>
    <w:p w14:paraId="5F9A689E" w14:textId="09681A85"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(14) Orgány činné v trestním řízení vedou řízení a vyhotovují svá rozhodnutí v českém jazyce. Každý, kdo prohlásí, že neovládá český jazyk, je oprávněn používat před orgány činnými v trestním řízení svého mateřského jazyka nebo jazyka, o kterém uvede, že ho ovládá.</w:t>
      </w:r>
    </w:p>
    <w:p w14:paraId="41AC62F2" w14:textId="79CE0C00" w:rsidR="005A0FE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(15) Orgány činné v trestním řízení jsou povinny v každém období řízení umožnit poškozenému plné uplatnění jeho práv, o kterých je třeba ho podle zákona vhodným způsobem a srozumitelně poučit, aby mohl dosáhnout uspokojení svých nároků; řízení musí vést s potřebnou ohleduplností k poškozenému a při šetření jeho osobnosti.</w:t>
      </w:r>
    </w:p>
    <w:p w14:paraId="59348431" w14:textId="6E3FC518" w:rsidR="004E5475" w:rsidRPr="003E6AE3" w:rsidRDefault="005A0FE5" w:rsidP="008E1253">
      <w:pPr>
        <w:spacing w:line="240" w:lineRule="auto"/>
        <w:ind w:firstLine="426"/>
        <w:rPr>
          <w:rFonts w:eastAsia="Arial" w:cs="Times New Roman"/>
          <w:szCs w:val="24"/>
          <w:lang w:eastAsia="cs-CZ"/>
        </w:rPr>
      </w:pPr>
      <w:r w:rsidRPr="003E6AE3">
        <w:rPr>
          <w:rFonts w:eastAsia="Arial" w:cs="Times New Roman"/>
          <w:szCs w:val="24"/>
          <w:lang w:eastAsia="cs-CZ"/>
        </w:rPr>
        <w:t>(16) Orgány činné v trestním řízení dbají v průběhu celého řízení na to, aby byly ve</w:t>
      </w:r>
      <w:r w:rsidR="003E6AE3">
        <w:rPr>
          <w:rFonts w:eastAsia="Arial" w:cs="Times New Roman"/>
          <w:szCs w:val="24"/>
          <w:lang w:eastAsia="cs-CZ"/>
        </w:rPr>
        <w:t> </w:t>
      </w:r>
      <w:r w:rsidRPr="003E6AE3">
        <w:rPr>
          <w:rFonts w:eastAsia="Arial" w:cs="Times New Roman"/>
          <w:szCs w:val="24"/>
          <w:lang w:eastAsia="cs-CZ"/>
        </w:rPr>
        <w:t>vhodných případech vytvářeny podmínky pro dobrovolnou a aktivní účast poškozeného a obviněného při řešení následků trestného činu a napravení vztahů zasažených trestným činem.</w:t>
      </w:r>
    </w:p>
    <w:p w14:paraId="3356A0A5" w14:textId="62BF1FD1" w:rsidR="00643CE7" w:rsidRPr="003E6AE3" w:rsidRDefault="00643CE7" w:rsidP="008E1253">
      <w:pPr>
        <w:keepNext/>
        <w:spacing w:line="240" w:lineRule="auto"/>
        <w:jc w:val="center"/>
        <w:outlineLvl w:val="1"/>
        <w:rPr>
          <w:rFonts w:eastAsia="Arial" w:cs="Times New Roman"/>
          <w:bCs/>
          <w:szCs w:val="24"/>
          <w:lang w:eastAsia="cs-CZ"/>
        </w:rPr>
      </w:pPr>
      <w:r w:rsidRPr="00902E63">
        <w:rPr>
          <w:rFonts w:eastAsia="Arial" w:cs="Times New Roman"/>
          <w:bCs/>
          <w:szCs w:val="24"/>
          <w:lang w:eastAsia="cs-CZ"/>
        </w:rPr>
        <w:t>§ 8a</w:t>
      </w:r>
    </w:p>
    <w:p w14:paraId="1D5DB7C1" w14:textId="70ECF8F1" w:rsidR="00643CE7" w:rsidRPr="003E6AE3" w:rsidRDefault="00643CE7" w:rsidP="008E1253">
      <w:pPr>
        <w:spacing w:line="240" w:lineRule="auto"/>
        <w:ind w:firstLine="426"/>
        <w:rPr>
          <w:rFonts w:eastAsia="Arial" w:cs="Times New Roman"/>
          <w:bCs/>
          <w:szCs w:val="24"/>
          <w:lang w:eastAsia="cs-CZ"/>
        </w:rPr>
      </w:pPr>
      <w:bookmarkStart w:id="3" w:name="_Hlk161300364"/>
      <w:r w:rsidRPr="003E6AE3">
        <w:rPr>
          <w:rFonts w:eastAsia="Arial" w:cs="Times New Roman"/>
          <w:szCs w:val="24"/>
          <w:lang w:eastAsia="cs-CZ"/>
        </w:rPr>
        <w:t>(1) Při poskytování informací o své činnosti veřejnosti orgány činné v</w:t>
      </w:r>
      <w:r w:rsidR="008C19D9" w:rsidRPr="003E6AE3">
        <w:rPr>
          <w:rFonts w:eastAsia="Arial" w:cs="Times New Roman"/>
          <w:szCs w:val="24"/>
          <w:lang w:eastAsia="cs-CZ"/>
        </w:rPr>
        <w:t> </w:t>
      </w:r>
      <w:r w:rsidRPr="003E6AE3">
        <w:rPr>
          <w:rFonts w:eastAsia="Arial" w:cs="Times New Roman"/>
          <w:szCs w:val="24"/>
          <w:lang w:eastAsia="cs-CZ"/>
        </w:rPr>
        <w:t>trestním řízení dbají na to, aby neohrozily objasnění skutečností důležitých pro trestní řízení, nezveřejnily o osobách zúčastněných na trestním řízení údaje, které přímo nesouvisejí s</w:t>
      </w:r>
      <w:r w:rsidR="008C19D9" w:rsidRPr="003E6AE3">
        <w:rPr>
          <w:rFonts w:eastAsia="Arial" w:cs="Times New Roman"/>
          <w:szCs w:val="24"/>
          <w:lang w:eastAsia="cs-CZ"/>
        </w:rPr>
        <w:t> </w:t>
      </w:r>
      <w:r w:rsidRPr="003E6AE3">
        <w:rPr>
          <w:rFonts w:eastAsia="Arial" w:cs="Times New Roman"/>
          <w:szCs w:val="24"/>
          <w:lang w:eastAsia="cs-CZ"/>
        </w:rPr>
        <w:t>trestnou činností</w:t>
      </w:r>
      <w:r w:rsidRPr="003E6AE3">
        <w:rPr>
          <w:rFonts w:eastAsia="Arial" w:cs="Times New Roman"/>
          <w:b/>
          <w:bCs/>
          <w:szCs w:val="24"/>
          <w:lang w:eastAsia="cs-CZ"/>
        </w:rPr>
        <w:t>,</w:t>
      </w:r>
      <w:r w:rsidRPr="003E6AE3">
        <w:rPr>
          <w:rFonts w:eastAsia="Arial" w:cs="Times New Roman"/>
          <w:szCs w:val="24"/>
          <w:lang w:eastAsia="cs-CZ"/>
        </w:rPr>
        <w:t xml:space="preserve"> </w:t>
      </w:r>
      <w:r w:rsidR="00957A4B" w:rsidRPr="003E6AE3">
        <w:rPr>
          <w:rFonts w:eastAsia="Arial" w:cs="Times New Roman"/>
          <w:b/>
          <w:szCs w:val="24"/>
          <w:lang w:eastAsia="cs-CZ"/>
        </w:rPr>
        <w:t>nejde-li</w:t>
      </w:r>
      <w:r w:rsidR="003E6AE3" w:rsidRPr="003E6AE3">
        <w:rPr>
          <w:rFonts w:eastAsia="Arial" w:cs="Times New Roman"/>
          <w:b/>
          <w:szCs w:val="24"/>
          <w:lang w:eastAsia="cs-CZ"/>
        </w:rPr>
        <w:t xml:space="preserve"> </w:t>
      </w:r>
      <w:r w:rsidR="00957A4B" w:rsidRPr="003E6AE3">
        <w:rPr>
          <w:rFonts w:eastAsia="Arial" w:cs="Times New Roman"/>
          <w:b/>
          <w:szCs w:val="24"/>
          <w:lang w:eastAsia="cs-CZ"/>
        </w:rPr>
        <w:t>o</w:t>
      </w:r>
      <w:r w:rsidR="003E6AE3" w:rsidRPr="003E6AE3">
        <w:rPr>
          <w:rFonts w:eastAsia="Arial" w:cs="Times New Roman"/>
          <w:b/>
          <w:szCs w:val="24"/>
          <w:lang w:eastAsia="cs-CZ"/>
        </w:rPr>
        <w:t> </w:t>
      </w:r>
      <w:r w:rsidR="00957A4B" w:rsidRPr="003E6AE3">
        <w:rPr>
          <w:rFonts w:eastAsia="Arial" w:cs="Times New Roman"/>
          <w:b/>
          <w:szCs w:val="24"/>
          <w:lang w:eastAsia="cs-CZ"/>
        </w:rPr>
        <w:t xml:space="preserve">údaj o státní příslušnosti toho, proti komu se vede trestní řízení, </w:t>
      </w:r>
      <w:r w:rsidRPr="003E6AE3">
        <w:rPr>
          <w:rFonts w:eastAsia="Arial" w:cs="Times New Roman"/>
          <w:szCs w:val="24"/>
          <w:lang w:eastAsia="cs-CZ"/>
        </w:rPr>
        <w:t>a aby neporušily zásadu, že dokud pravomocným odsuzujícím rozsudkem není vina vyslovena, nelze na toho, proti němuž se vede trestní řízení, hledět, jako by byl vinen (§ 2 odst. 2). V</w:t>
      </w:r>
      <w:r w:rsidR="008C19D9" w:rsidRPr="003E6AE3">
        <w:rPr>
          <w:rFonts w:eastAsia="Arial" w:cs="Times New Roman"/>
          <w:szCs w:val="24"/>
          <w:lang w:eastAsia="cs-CZ"/>
        </w:rPr>
        <w:t> </w:t>
      </w:r>
      <w:r w:rsidRPr="003E6AE3">
        <w:rPr>
          <w:rFonts w:eastAsia="Arial" w:cs="Times New Roman"/>
          <w:szCs w:val="24"/>
          <w:lang w:eastAsia="cs-CZ"/>
        </w:rPr>
        <w:t xml:space="preserve">přípravném řízení nesmějí zveřejnit informace umožňující zjištění totožnosti osoby, proti které se vede trestní řízení, poškozeného, zúčastněné osoby </w:t>
      </w:r>
      <w:r w:rsidRPr="003E6AE3">
        <w:rPr>
          <w:rFonts w:eastAsia="Arial" w:cs="Times New Roman"/>
          <w:strike/>
          <w:szCs w:val="24"/>
          <w:lang w:eastAsia="cs-CZ"/>
        </w:rPr>
        <w:t>a svědka</w:t>
      </w:r>
      <w:bookmarkStart w:id="4" w:name="_Hlk167786681"/>
      <w:r w:rsidRPr="003E6AE3">
        <w:rPr>
          <w:rFonts w:eastAsia="Arial" w:cs="Times New Roman"/>
          <w:b/>
          <w:szCs w:val="24"/>
          <w:lang w:eastAsia="cs-CZ"/>
        </w:rPr>
        <w:t>,</w:t>
      </w:r>
      <w:r w:rsidRPr="003E6AE3">
        <w:rPr>
          <w:rFonts w:eastAsia="Arial" w:cs="Times New Roman"/>
          <w:szCs w:val="24"/>
          <w:lang w:eastAsia="cs-CZ"/>
        </w:rPr>
        <w:t xml:space="preserve"> </w:t>
      </w:r>
      <w:r w:rsidRPr="003E6AE3">
        <w:rPr>
          <w:rFonts w:eastAsia="Arial" w:cs="Times New Roman"/>
          <w:b/>
          <w:szCs w:val="24"/>
          <w:lang w:eastAsia="cs-CZ"/>
        </w:rPr>
        <w:t>svědka, osoby podávající vysvětlení</w:t>
      </w:r>
      <w:r w:rsidR="00BD13E6">
        <w:rPr>
          <w:rFonts w:eastAsia="Arial" w:cs="Times New Roman"/>
          <w:b/>
          <w:szCs w:val="24"/>
          <w:lang w:eastAsia="cs-CZ"/>
        </w:rPr>
        <w:t xml:space="preserve"> </w:t>
      </w:r>
      <w:r w:rsidRPr="003E6AE3">
        <w:rPr>
          <w:rFonts w:eastAsia="Arial" w:cs="Times New Roman"/>
          <w:b/>
          <w:szCs w:val="24"/>
          <w:lang w:eastAsia="cs-CZ"/>
        </w:rPr>
        <w:t>a</w:t>
      </w:r>
      <w:r w:rsidR="003E6AE3" w:rsidRPr="003E6AE3">
        <w:rPr>
          <w:rFonts w:eastAsia="Arial" w:cs="Times New Roman"/>
          <w:b/>
          <w:szCs w:val="24"/>
          <w:lang w:eastAsia="cs-CZ"/>
        </w:rPr>
        <w:t> </w:t>
      </w:r>
      <w:r w:rsidRPr="003E6AE3">
        <w:rPr>
          <w:rFonts w:eastAsia="Arial" w:cs="Times New Roman"/>
          <w:b/>
          <w:szCs w:val="24"/>
          <w:lang w:eastAsia="cs-CZ"/>
        </w:rPr>
        <w:t>oznamovatele</w:t>
      </w:r>
      <w:bookmarkEnd w:id="4"/>
      <w:r w:rsidRPr="003E6AE3">
        <w:rPr>
          <w:rFonts w:eastAsia="Arial" w:cs="Times New Roman"/>
          <w:szCs w:val="24"/>
          <w:lang w:eastAsia="cs-CZ"/>
        </w:rPr>
        <w:t>.</w:t>
      </w:r>
    </w:p>
    <w:bookmarkEnd w:id="3"/>
    <w:p w14:paraId="2F5F2A7A" w14:textId="33591339" w:rsidR="00643CE7" w:rsidRPr="003E6AE3" w:rsidRDefault="00643CE7" w:rsidP="008E1253">
      <w:pPr>
        <w:spacing w:line="240" w:lineRule="auto"/>
        <w:ind w:firstLine="426"/>
        <w:rPr>
          <w:rFonts w:eastAsia="Arial" w:cs="Times New Roman"/>
          <w:bCs/>
          <w:szCs w:val="24"/>
          <w:lang w:eastAsia="cs-CZ"/>
        </w:rPr>
      </w:pPr>
      <w:r w:rsidRPr="003E6AE3">
        <w:rPr>
          <w:rFonts w:eastAsia="Arial" w:cs="Times New Roman"/>
          <w:szCs w:val="24"/>
          <w:lang w:eastAsia="cs-CZ"/>
        </w:rPr>
        <w:t>(2) Při poskytování informací podle odstavce 1 orgány činné v</w:t>
      </w:r>
      <w:r w:rsidR="008C19D9" w:rsidRPr="003E6AE3">
        <w:rPr>
          <w:rFonts w:eastAsia="Arial" w:cs="Times New Roman"/>
          <w:szCs w:val="24"/>
          <w:lang w:eastAsia="cs-CZ"/>
        </w:rPr>
        <w:t> </w:t>
      </w:r>
      <w:r w:rsidRPr="003E6AE3">
        <w:rPr>
          <w:rFonts w:eastAsia="Arial" w:cs="Times New Roman"/>
          <w:szCs w:val="24"/>
          <w:lang w:eastAsia="cs-CZ"/>
        </w:rPr>
        <w:t>trestním řízení zvlášť dbají na ochranu osobních údajů a soukromí osob mladších 18 let.</w:t>
      </w:r>
    </w:p>
    <w:p w14:paraId="70ED491C" w14:textId="247016ED" w:rsidR="00643CE7" w:rsidRPr="003E6AE3" w:rsidRDefault="00643CE7" w:rsidP="008E1253">
      <w:pPr>
        <w:spacing w:line="240" w:lineRule="auto"/>
        <w:ind w:firstLine="426"/>
        <w:rPr>
          <w:rFonts w:eastAsia="Arial" w:cs="Times New Roman"/>
          <w:bCs/>
          <w:szCs w:val="24"/>
          <w:lang w:eastAsia="cs-CZ"/>
        </w:rPr>
      </w:pPr>
      <w:r w:rsidRPr="003E6AE3">
        <w:rPr>
          <w:rFonts w:eastAsia="Arial" w:cs="Times New Roman"/>
          <w:szCs w:val="24"/>
          <w:lang w:eastAsia="cs-CZ"/>
        </w:rPr>
        <w:t>(3) Orgány činné v</w:t>
      </w:r>
      <w:r w:rsidR="008C19D9" w:rsidRPr="003E6AE3">
        <w:rPr>
          <w:rFonts w:eastAsia="Arial" w:cs="Times New Roman"/>
          <w:szCs w:val="24"/>
          <w:lang w:eastAsia="cs-CZ"/>
        </w:rPr>
        <w:t> </w:t>
      </w:r>
      <w:r w:rsidRPr="003E6AE3">
        <w:rPr>
          <w:rFonts w:eastAsia="Arial" w:cs="Times New Roman"/>
          <w:szCs w:val="24"/>
          <w:lang w:eastAsia="cs-CZ"/>
        </w:rPr>
        <w:t>trestním řízení informují o své činnosti veřejnost poskytováním informací podle odstavce 1 veřejným sdělovacím prostředkům; poskytnutí informací odepřou z</w:t>
      </w:r>
      <w:r w:rsidR="008C19D9" w:rsidRPr="003E6AE3">
        <w:rPr>
          <w:rFonts w:eastAsia="Arial" w:cs="Times New Roman"/>
          <w:szCs w:val="24"/>
          <w:lang w:eastAsia="cs-CZ"/>
        </w:rPr>
        <w:t> </w:t>
      </w:r>
      <w:r w:rsidRPr="003E6AE3">
        <w:rPr>
          <w:rFonts w:eastAsia="Arial" w:cs="Times New Roman"/>
          <w:szCs w:val="24"/>
          <w:lang w:eastAsia="cs-CZ"/>
        </w:rPr>
        <w:t>důvodů ochrany zájmů uvedených v</w:t>
      </w:r>
      <w:r w:rsidR="008C19D9" w:rsidRPr="003E6AE3">
        <w:rPr>
          <w:rFonts w:eastAsia="Arial" w:cs="Times New Roman"/>
          <w:szCs w:val="24"/>
          <w:lang w:eastAsia="cs-CZ"/>
        </w:rPr>
        <w:t> </w:t>
      </w:r>
      <w:r w:rsidRPr="003E6AE3">
        <w:rPr>
          <w:rFonts w:eastAsia="Arial" w:cs="Times New Roman"/>
          <w:szCs w:val="24"/>
          <w:lang w:eastAsia="cs-CZ"/>
        </w:rPr>
        <w:t>odstavcích 1 a 2. Vyhradí-li si v</w:t>
      </w:r>
      <w:r w:rsidR="008C19D9" w:rsidRPr="003E6AE3">
        <w:rPr>
          <w:rFonts w:eastAsia="Arial" w:cs="Times New Roman"/>
          <w:szCs w:val="24"/>
          <w:lang w:eastAsia="cs-CZ"/>
        </w:rPr>
        <w:t> </w:t>
      </w:r>
      <w:r w:rsidRPr="003E6AE3">
        <w:rPr>
          <w:rFonts w:eastAsia="Arial" w:cs="Times New Roman"/>
          <w:szCs w:val="24"/>
          <w:lang w:eastAsia="cs-CZ"/>
        </w:rPr>
        <w:t>přípravném řízení státní zástupce právo poskytnout informace o určité trestní věci, může je policejní orgán poskytnout jen s</w:t>
      </w:r>
      <w:r w:rsidR="008C19D9" w:rsidRPr="003E6AE3">
        <w:rPr>
          <w:rFonts w:eastAsia="Arial" w:cs="Times New Roman"/>
          <w:szCs w:val="24"/>
          <w:lang w:eastAsia="cs-CZ"/>
        </w:rPr>
        <w:t> </w:t>
      </w:r>
      <w:r w:rsidRPr="003E6AE3">
        <w:rPr>
          <w:rFonts w:eastAsia="Arial" w:cs="Times New Roman"/>
          <w:szCs w:val="24"/>
          <w:lang w:eastAsia="cs-CZ"/>
        </w:rPr>
        <w:t>jeho předchozím souhlasem.</w:t>
      </w:r>
    </w:p>
    <w:p w14:paraId="525A7BA9" w14:textId="5592BDFA" w:rsidR="000153DB" w:rsidRPr="00902E63" w:rsidRDefault="00531C46" w:rsidP="008E1253">
      <w:pPr>
        <w:keepNext/>
        <w:spacing w:line="240" w:lineRule="auto"/>
        <w:jc w:val="center"/>
        <w:outlineLvl w:val="1"/>
        <w:rPr>
          <w:rFonts w:eastAsia="Arial" w:cs="Times New Roman"/>
          <w:bCs/>
          <w:szCs w:val="24"/>
          <w:lang w:eastAsia="cs-CZ"/>
        </w:rPr>
      </w:pPr>
      <w:bookmarkStart w:id="5" w:name="_Hlk212142148"/>
      <w:bookmarkEnd w:id="0"/>
      <w:bookmarkEnd w:id="1"/>
      <w:bookmarkEnd w:id="2"/>
      <w:r w:rsidRPr="00902E63">
        <w:rPr>
          <w:rFonts w:eastAsia="Arial" w:cs="Times New Roman"/>
          <w:bCs/>
          <w:szCs w:val="24"/>
          <w:lang w:eastAsia="cs-CZ"/>
        </w:rPr>
        <w:t>§ 12</w:t>
      </w:r>
    </w:p>
    <w:p w14:paraId="7446EB4B" w14:textId="77777777" w:rsidR="000153DB" w:rsidRPr="00902E63" w:rsidRDefault="000153DB" w:rsidP="008E1253">
      <w:pPr>
        <w:spacing w:line="240" w:lineRule="auto"/>
        <w:jc w:val="center"/>
        <w:rPr>
          <w:rFonts w:eastAsia="Arial" w:cs="Times New Roman"/>
          <w:szCs w:val="24"/>
          <w:lang w:eastAsia="cs-CZ"/>
        </w:rPr>
      </w:pPr>
      <w:r w:rsidRPr="00902E63">
        <w:rPr>
          <w:rFonts w:eastAsia="Arial" w:cs="Times New Roman"/>
          <w:szCs w:val="24"/>
          <w:lang w:eastAsia="cs-CZ"/>
        </w:rPr>
        <w:t>Výklad některých pojmů</w:t>
      </w:r>
    </w:p>
    <w:p w14:paraId="5FBD8179" w14:textId="6AC531ED" w:rsidR="000153DB" w:rsidRPr="00902E63" w:rsidRDefault="000153DB" w:rsidP="008E1253">
      <w:pPr>
        <w:spacing w:line="240" w:lineRule="auto"/>
        <w:ind w:firstLine="426"/>
        <w:rPr>
          <w:rFonts w:eastAsia="Arial" w:cs="Times New Roman"/>
          <w:szCs w:val="24"/>
          <w:lang w:eastAsia="cs-CZ"/>
        </w:rPr>
      </w:pPr>
      <w:r w:rsidRPr="00902E63">
        <w:rPr>
          <w:rFonts w:eastAsia="Arial" w:cs="Times New Roman"/>
          <w:szCs w:val="24"/>
          <w:lang w:eastAsia="cs-CZ"/>
        </w:rPr>
        <w:t>(1) Orgány činnými v</w:t>
      </w:r>
      <w:r w:rsidR="008C19D9" w:rsidRPr="00902E63">
        <w:rPr>
          <w:rFonts w:eastAsia="Arial" w:cs="Times New Roman"/>
          <w:szCs w:val="24"/>
          <w:lang w:eastAsia="cs-CZ"/>
        </w:rPr>
        <w:t> </w:t>
      </w:r>
      <w:r w:rsidRPr="00902E63">
        <w:rPr>
          <w:rFonts w:eastAsia="Arial" w:cs="Times New Roman"/>
          <w:szCs w:val="24"/>
          <w:lang w:eastAsia="cs-CZ"/>
        </w:rPr>
        <w:t>trestním řízení se rozumějí soud, státní zástupce a policejní orgán.</w:t>
      </w:r>
    </w:p>
    <w:p w14:paraId="041CE816" w14:textId="77777777" w:rsidR="000153DB" w:rsidRPr="00902E63" w:rsidRDefault="000153DB" w:rsidP="008E1253">
      <w:pPr>
        <w:spacing w:line="240" w:lineRule="auto"/>
        <w:ind w:firstLine="426"/>
        <w:rPr>
          <w:rFonts w:eastAsia="Arial" w:cs="Times New Roman"/>
          <w:szCs w:val="24"/>
          <w:lang w:eastAsia="cs-CZ"/>
        </w:rPr>
      </w:pPr>
      <w:r w:rsidRPr="00902E63">
        <w:rPr>
          <w:rFonts w:eastAsia="Arial" w:cs="Times New Roman"/>
          <w:szCs w:val="24"/>
          <w:lang w:eastAsia="cs-CZ"/>
        </w:rPr>
        <w:lastRenderedPageBreak/>
        <w:t>(2) Policejními orgány se rozumějí</w:t>
      </w:r>
    </w:p>
    <w:p w14:paraId="64004166" w14:textId="77777777"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a) útvary Policie České republiky,</w:t>
      </w:r>
    </w:p>
    <w:p w14:paraId="78D9C2BD" w14:textId="18F4719B"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b) Generální inspekce bezpečnostních sborů v</w:t>
      </w:r>
      <w:r w:rsidR="008C19D9" w:rsidRPr="003E6AE3">
        <w:rPr>
          <w:rFonts w:eastAsia="Times New Roman" w:cs="Times New Roman"/>
          <w:szCs w:val="24"/>
        </w:rPr>
        <w:t> </w:t>
      </w:r>
      <w:r w:rsidRPr="003E6AE3">
        <w:rPr>
          <w:rFonts w:eastAsia="Times New Roman" w:cs="Times New Roman"/>
          <w:szCs w:val="24"/>
        </w:rPr>
        <w:t>řízení o trestných činech příslušníků Policie České republiky, příslušníků Vězeňské služby České republiky, celníků anebo zaměstnanců České republiky zařazených k</w:t>
      </w:r>
      <w:r w:rsidR="008C19D9" w:rsidRPr="003E6AE3">
        <w:rPr>
          <w:rFonts w:eastAsia="Times New Roman" w:cs="Times New Roman"/>
          <w:szCs w:val="24"/>
        </w:rPr>
        <w:t> </w:t>
      </w:r>
      <w:r w:rsidRPr="003E6AE3">
        <w:rPr>
          <w:rFonts w:eastAsia="Times New Roman" w:cs="Times New Roman"/>
          <w:szCs w:val="24"/>
        </w:rPr>
        <w:t>výkonu práce v</w:t>
      </w:r>
      <w:r w:rsidR="008C19D9" w:rsidRPr="003E6AE3">
        <w:rPr>
          <w:rFonts w:eastAsia="Times New Roman" w:cs="Times New Roman"/>
          <w:szCs w:val="24"/>
        </w:rPr>
        <w:t> </w:t>
      </w:r>
      <w:r w:rsidRPr="003E6AE3">
        <w:rPr>
          <w:rFonts w:eastAsia="Times New Roman" w:cs="Times New Roman"/>
          <w:szCs w:val="24"/>
        </w:rPr>
        <w:t>Policii České republiky, nebo o trestných činech zaměstnanců České republiky zařazených k</w:t>
      </w:r>
      <w:r w:rsidR="008C19D9" w:rsidRPr="003E6AE3">
        <w:rPr>
          <w:rFonts w:eastAsia="Times New Roman" w:cs="Times New Roman"/>
          <w:szCs w:val="24"/>
        </w:rPr>
        <w:t> </w:t>
      </w:r>
      <w:r w:rsidRPr="003E6AE3">
        <w:rPr>
          <w:rFonts w:eastAsia="Times New Roman" w:cs="Times New Roman"/>
          <w:szCs w:val="24"/>
        </w:rPr>
        <w:t>výkonu práce ve Vězeňské službě České republiky anebo v</w:t>
      </w:r>
      <w:r w:rsidR="008C19D9" w:rsidRPr="003E6AE3">
        <w:rPr>
          <w:rFonts w:eastAsia="Times New Roman" w:cs="Times New Roman"/>
          <w:szCs w:val="24"/>
        </w:rPr>
        <w:t> </w:t>
      </w:r>
      <w:r w:rsidRPr="003E6AE3">
        <w:rPr>
          <w:rFonts w:eastAsia="Times New Roman" w:cs="Times New Roman"/>
          <w:szCs w:val="24"/>
        </w:rPr>
        <w:t>Celní správě České republiky, spáchaných v</w:t>
      </w:r>
      <w:r w:rsidR="008C19D9" w:rsidRPr="003E6AE3">
        <w:rPr>
          <w:rFonts w:eastAsia="Times New Roman" w:cs="Times New Roman"/>
          <w:szCs w:val="24"/>
        </w:rPr>
        <w:t> </w:t>
      </w:r>
      <w:r w:rsidRPr="003E6AE3">
        <w:rPr>
          <w:rFonts w:eastAsia="Times New Roman" w:cs="Times New Roman"/>
          <w:szCs w:val="24"/>
        </w:rPr>
        <w:t>souvislosti s</w:t>
      </w:r>
      <w:r w:rsidR="008C19D9" w:rsidRPr="003E6AE3">
        <w:rPr>
          <w:rFonts w:eastAsia="Times New Roman" w:cs="Times New Roman"/>
          <w:szCs w:val="24"/>
        </w:rPr>
        <w:t> </w:t>
      </w:r>
      <w:r w:rsidRPr="003E6AE3">
        <w:rPr>
          <w:rFonts w:eastAsia="Times New Roman" w:cs="Times New Roman"/>
          <w:szCs w:val="24"/>
        </w:rPr>
        <w:t>plněním jejich pracovních úkolů,</w:t>
      </w:r>
    </w:p>
    <w:p w14:paraId="5510C0F3" w14:textId="32460549"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c) pověřené orgán</w:t>
      </w:r>
      <w:r w:rsidR="008C19D9" w:rsidRPr="003E6AE3">
        <w:rPr>
          <w:rFonts w:eastAsia="Times New Roman" w:cs="Times New Roman"/>
          <w:szCs w:val="24"/>
        </w:rPr>
        <w:t> v</w:t>
      </w:r>
      <w:r w:rsidRPr="003E6AE3">
        <w:rPr>
          <w:rFonts w:eastAsia="Times New Roman" w:cs="Times New Roman"/>
          <w:szCs w:val="24"/>
        </w:rPr>
        <w:t>ězeňské služby České republiky v řízení o trestných činech osob ve výkonu vazby, trestu odnětí svobody a zabezpečovací detence, spáchaných ve vazební věznici, věznici nebo v</w:t>
      </w:r>
      <w:r w:rsidR="008C19D9" w:rsidRPr="003E6AE3">
        <w:rPr>
          <w:rFonts w:eastAsia="Times New Roman" w:cs="Times New Roman"/>
          <w:szCs w:val="24"/>
        </w:rPr>
        <w:t> </w:t>
      </w:r>
      <w:r w:rsidRPr="003E6AE3">
        <w:rPr>
          <w:rFonts w:eastAsia="Times New Roman" w:cs="Times New Roman"/>
          <w:szCs w:val="24"/>
        </w:rPr>
        <w:t>ústavu pro výkon zabezpečovací detence,</w:t>
      </w:r>
    </w:p>
    <w:p w14:paraId="7EC70084" w14:textId="1AE6F1FB" w:rsidR="000153DB" w:rsidRPr="003E6AE3" w:rsidRDefault="000153DB" w:rsidP="008E1253">
      <w:pPr>
        <w:widowControl w:val="0"/>
        <w:autoSpaceDE w:val="0"/>
        <w:autoSpaceDN w:val="0"/>
        <w:adjustRightInd w:val="0"/>
        <w:spacing w:line="240" w:lineRule="auto"/>
        <w:ind w:left="284" w:hanging="284"/>
        <w:rPr>
          <w:rFonts w:eastAsiaTheme="minorEastAsia" w:cs="Times New Roman"/>
          <w:bCs/>
          <w:szCs w:val="24"/>
        </w:rPr>
      </w:pPr>
      <w:bookmarkStart w:id="6" w:name="_Hlk171501467"/>
      <w:r w:rsidRPr="003E6AE3">
        <w:rPr>
          <w:rFonts w:eastAsiaTheme="minorEastAsia" w:cs="Times New Roman"/>
          <w:szCs w:val="24"/>
        </w:rPr>
        <w:t>d) pověřené celní orgány v</w:t>
      </w:r>
      <w:r w:rsidR="008C19D9" w:rsidRPr="003E6AE3">
        <w:rPr>
          <w:rFonts w:eastAsiaTheme="minorEastAsia" w:cs="Times New Roman"/>
          <w:szCs w:val="24"/>
        </w:rPr>
        <w:t> </w:t>
      </w:r>
      <w:r w:rsidRPr="003E6AE3">
        <w:rPr>
          <w:rFonts w:eastAsiaTheme="minorEastAsia" w:cs="Times New Roman"/>
          <w:szCs w:val="24"/>
        </w:rPr>
        <w:t>řízení o trestných činech</w:t>
      </w:r>
    </w:p>
    <w:p w14:paraId="336BCAC7" w14:textId="63FD5D83" w:rsidR="000153DB" w:rsidRPr="003E6AE3" w:rsidRDefault="000153DB" w:rsidP="008E1253">
      <w:pPr>
        <w:widowControl w:val="0"/>
        <w:autoSpaceDE w:val="0"/>
        <w:autoSpaceDN w:val="0"/>
        <w:adjustRightInd w:val="0"/>
        <w:spacing w:line="240" w:lineRule="auto"/>
        <w:ind w:left="568" w:hanging="284"/>
        <w:rPr>
          <w:rFonts w:eastAsiaTheme="minorEastAsia" w:cs="Times New Roman"/>
          <w:bCs/>
          <w:szCs w:val="24"/>
        </w:rPr>
      </w:pPr>
      <w:r w:rsidRPr="003E6AE3">
        <w:rPr>
          <w:rFonts w:eastAsiaTheme="minorEastAsia" w:cs="Times New Roman"/>
          <w:szCs w:val="24"/>
        </w:rPr>
        <w:t>1. spáchaných porušením právních předpisů o dovozu, vývozu nebo průvozu zboží a právních předpisů při umístění a pořízení zboží v</w:t>
      </w:r>
      <w:r w:rsidR="008C19D9" w:rsidRPr="003E6AE3">
        <w:rPr>
          <w:rFonts w:eastAsiaTheme="minorEastAsia" w:cs="Times New Roman"/>
          <w:szCs w:val="24"/>
        </w:rPr>
        <w:t> </w:t>
      </w:r>
      <w:r w:rsidRPr="003E6AE3">
        <w:rPr>
          <w:rFonts w:eastAsiaTheme="minorEastAsia" w:cs="Times New Roman"/>
          <w:szCs w:val="24"/>
        </w:rPr>
        <w:t>členských státech Evropské unie, je-li toto zboží dopravováno přes státní hranice České republiky,</w:t>
      </w:r>
    </w:p>
    <w:p w14:paraId="494F13D4" w14:textId="18E6B92C" w:rsidR="000153DB" w:rsidRPr="003E6AE3" w:rsidRDefault="000153DB" w:rsidP="008E1253">
      <w:pPr>
        <w:widowControl w:val="0"/>
        <w:autoSpaceDE w:val="0"/>
        <w:autoSpaceDN w:val="0"/>
        <w:adjustRightInd w:val="0"/>
        <w:spacing w:line="240" w:lineRule="auto"/>
        <w:ind w:left="568" w:hanging="284"/>
        <w:rPr>
          <w:rFonts w:eastAsiaTheme="minorEastAsia" w:cs="Times New Roman"/>
          <w:bCs/>
          <w:szCs w:val="24"/>
        </w:rPr>
      </w:pPr>
      <w:r w:rsidRPr="003E6AE3">
        <w:rPr>
          <w:rFonts w:eastAsiaTheme="minorEastAsia" w:cs="Times New Roman"/>
          <w:szCs w:val="24"/>
        </w:rPr>
        <w:t>2. spáchaných porušením daňových předpisů v</w:t>
      </w:r>
      <w:r w:rsidR="008C19D9" w:rsidRPr="003E6AE3">
        <w:rPr>
          <w:rFonts w:eastAsiaTheme="minorEastAsia" w:cs="Times New Roman"/>
          <w:szCs w:val="24"/>
        </w:rPr>
        <w:t> </w:t>
      </w:r>
      <w:r w:rsidRPr="003E6AE3">
        <w:rPr>
          <w:rFonts w:eastAsiaTheme="minorEastAsia" w:cs="Times New Roman"/>
          <w:szCs w:val="24"/>
        </w:rPr>
        <w:t>případech, kdy jsou orgány Celní správy České republiky správcem daně, nebo porušením daňových předpisů upravujících daň z</w:t>
      </w:r>
      <w:r w:rsidR="008C19D9" w:rsidRPr="003E6AE3">
        <w:rPr>
          <w:rFonts w:eastAsiaTheme="minorEastAsia" w:cs="Times New Roman"/>
          <w:szCs w:val="24"/>
        </w:rPr>
        <w:t> </w:t>
      </w:r>
      <w:r w:rsidRPr="003E6AE3">
        <w:rPr>
          <w:rFonts w:eastAsiaTheme="minorEastAsia" w:cs="Times New Roman"/>
          <w:szCs w:val="24"/>
        </w:rPr>
        <w:t>přidané hodnoty nebo daň z</w:t>
      </w:r>
      <w:r w:rsidR="008C19D9" w:rsidRPr="003E6AE3">
        <w:rPr>
          <w:rFonts w:eastAsiaTheme="minorEastAsia" w:cs="Times New Roman"/>
          <w:szCs w:val="24"/>
        </w:rPr>
        <w:t> </w:t>
      </w:r>
      <w:r w:rsidRPr="003E6AE3">
        <w:rPr>
          <w:rFonts w:eastAsiaTheme="minorEastAsia" w:cs="Times New Roman"/>
          <w:szCs w:val="24"/>
        </w:rPr>
        <w:t>hazardních her,</w:t>
      </w:r>
    </w:p>
    <w:p w14:paraId="79B87631" w14:textId="3891C574" w:rsidR="000153DB" w:rsidRPr="003E6AE3" w:rsidRDefault="000153DB" w:rsidP="008E1253">
      <w:pPr>
        <w:widowControl w:val="0"/>
        <w:autoSpaceDE w:val="0"/>
        <w:autoSpaceDN w:val="0"/>
        <w:adjustRightInd w:val="0"/>
        <w:spacing w:line="240" w:lineRule="auto"/>
        <w:ind w:left="568" w:hanging="284"/>
        <w:rPr>
          <w:rFonts w:eastAsiaTheme="minorEastAsia" w:cs="Times New Roman"/>
          <w:bCs/>
          <w:szCs w:val="24"/>
        </w:rPr>
      </w:pPr>
      <w:r w:rsidRPr="003E6AE3">
        <w:rPr>
          <w:rFonts w:eastAsiaTheme="minorEastAsia" w:cs="Times New Roman"/>
          <w:szCs w:val="24"/>
        </w:rPr>
        <w:t>3. spáchaných porušením právních předpisů upravujících hazardní hry, obchod s</w:t>
      </w:r>
      <w:r w:rsidR="008C19D9" w:rsidRPr="003E6AE3">
        <w:rPr>
          <w:rFonts w:eastAsiaTheme="minorEastAsia" w:cs="Times New Roman"/>
          <w:szCs w:val="24"/>
        </w:rPr>
        <w:t> </w:t>
      </w:r>
      <w:r w:rsidRPr="003E6AE3">
        <w:rPr>
          <w:rFonts w:eastAsiaTheme="minorEastAsia" w:cs="Times New Roman"/>
          <w:szCs w:val="24"/>
        </w:rPr>
        <w:t>chráněnými druhy volně žijících živočichů a planě rostoucích rostlin nebo právo duševního vlastnictví,</w:t>
      </w:r>
    </w:p>
    <w:p w14:paraId="349B2F43" w14:textId="2AB9F727" w:rsidR="000153DB" w:rsidRPr="003E6AE3" w:rsidRDefault="000153DB" w:rsidP="008E1253">
      <w:pPr>
        <w:widowControl w:val="0"/>
        <w:autoSpaceDE w:val="0"/>
        <w:autoSpaceDN w:val="0"/>
        <w:adjustRightInd w:val="0"/>
        <w:spacing w:line="240" w:lineRule="auto"/>
        <w:ind w:left="568" w:hanging="284"/>
        <w:rPr>
          <w:rFonts w:eastAsiaTheme="minorEastAsia" w:cs="Times New Roman"/>
          <w:bCs/>
          <w:szCs w:val="24"/>
        </w:rPr>
      </w:pPr>
      <w:r w:rsidRPr="003E6AE3">
        <w:rPr>
          <w:rFonts w:eastAsiaTheme="minorEastAsia" w:cs="Times New Roman"/>
          <w:szCs w:val="24"/>
        </w:rPr>
        <w:t>4. legalizace výnosů z</w:t>
      </w:r>
      <w:r w:rsidR="008C19D9" w:rsidRPr="003E6AE3">
        <w:rPr>
          <w:rFonts w:eastAsiaTheme="minorEastAsia" w:cs="Times New Roman"/>
          <w:szCs w:val="24"/>
        </w:rPr>
        <w:t> </w:t>
      </w:r>
      <w:r w:rsidRPr="003E6AE3">
        <w:rPr>
          <w:rFonts w:eastAsiaTheme="minorEastAsia" w:cs="Times New Roman"/>
          <w:szCs w:val="24"/>
        </w:rPr>
        <w:t>trestné činnosti (§ 216 trestního zákoníku) a legalizace výnosů z</w:t>
      </w:r>
      <w:r w:rsidR="008C19D9" w:rsidRPr="003E6AE3">
        <w:rPr>
          <w:rFonts w:eastAsiaTheme="minorEastAsia" w:cs="Times New Roman"/>
          <w:szCs w:val="24"/>
        </w:rPr>
        <w:t> </w:t>
      </w:r>
      <w:r w:rsidRPr="003E6AE3">
        <w:rPr>
          <w:rFonts w:eastAsiaTheme="minorEastAsia" w:cs="Times New Roman"/>
          <w:szCs w:val="24"/>
        </w:rPr>
        <w:t>trestné činnosti z</w:t>
      </w:r>
      <w:r w:rsidR="008C19D9" w:rsidRPr="003E6AE3">
        <w:rPr>
          <w:rFonts w:eastAsiaTheme="minorEastAsia" w:cs="Times New Roman"/>
          <w:szCs w:val="24"/>
        </w:rPr>
        <w:t> </w:t>
      </w:r>
      <w:r w:rsidRPr="003E6AE3">
        <w:rPr>
          <w:rFonts w:eastAsiaTheme="minorEastAsia" w:cs="Times New Roman"/>
          <w:szCs w:val="24"/>
        </w:rPr>
        <w:t>nedbalosti (§ 217 trestního zákoníku), je-li trestným činem, z</w:t>
      </w:r>
      <w:r w:rsidR="008C19D9" w:rsidRPr="003E6AE3">
        <w:rPr>
          <w:rFonts w:eastAsiaTheme="minorEastAsia" w:cs="Times New Roman"/>
          <w:szCs w:val="24"/>
        </w:rPr>
        <w:t> </w:t>
      </w:r>
      <w:r w:rsidRPr="003E6AE3">
        <w:rPr>
          <w:rFonts w:eastAsiaTheme="minorEastAsia" w:cs="Times New Roman"/>
          <w:szCs w:val="24"/>
        </w:rPr>
        <w:t>něhož tyto výnosy pocházejí, některý z</w:t>
      </w:r>
      <w:r w:rsidR="008C19D9" w:rsidRPr="003E6AE3">
        <w:rPr>
          <w:rFonts w:eastAsiaTheme="minorEastAsia" w:cs="Times New Roman"/>
          <w:szCs w:val="24"/>
        </w:rPr>
        <w:t> </w:t>
      </w:r>
      <w:r w:rsidRPr="003E6AE3">
        <w:rPr>
          <w:rFonts w:eastAsiaTheme="minorEastAsia" w:cs="Times New Roman"/>
          <w:szCs w:val="24"/>
        </w:rPr>
        <w:t>trestných činů podle bodů 1 až 3,</w:t>
      </w:r>
    </w:p>
    <w:bookmarkEnd w:id="6"/>
    <w:p w14:paraId="4070E1C0" w14:textId="0B4B53F4"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e) pověřené orgány Vojenské policie v</w:t>
      </w:r>
      <w:r w:rsidR="008C19D9" w:rsidRPr="003E6AE3">
        <w:rPr>
          <w:rFonts w:eastAsia="Times New Roman" w:cs="Times New Roman"/>
          <w:szCs w:val="24"/>
        </w:rPr>
        <w:t> </w:t>
      </w:r>
      <w:r w:rsidRPr="003E6AE3">
        <w:rPr>
          <w:rFonts w:eastAsia="Times New Roman" w:cs="Times New Roman"/>
          <w:szCs w:val="24"/>
        </w:rPr>
        <w:t>řízení o trestných činech příslušníků ozbrojených sil a osob, které páchají trestnou činnost proti příslušníkům ozbrojených sil ve vojenských objektech anebo proti vojenským objektům, vojenskému materiálu nebo ostatnímu majetku státu, s</w:t>
      </w:r>
      <w:r w:rsidR="008C19D9" w:rsidRPr="003E6AE3">
        <w:rPr>
          <w:rFonts w:eastAsia="Times New Roman" w:cs="Times New Roman"/>
          <w:szCs w:val="24"/>
        </w:rPr>
        <w:t> </w:t>
      </w:r>
      <w:r w:rsidRPr="003E6AE3">
        <w:rPr>
          <w:rFonts w:eastAsia="Times New Roman" w:cs="Times New Roman"/>
          <w:szCs w:val="24"/>
        </w:rPr>
        <w:t>nímž jsou příslušné hospodařit Ministerstvo obrany nebo jím zřízené organizační složky státu nebo s</w:t>
      </w:r>
      <w:r w:rsidR="008C19D9" w:rsidRPr="003E6AE3">
        <w:rPr>
          <w:rFonts w:eastAsia="Times New Roman" w:cs="Times New Roman"/>
          <w:szCs w:val="24"/>
        </w:rPr>
        <w:t> </w:t>
      </w:r>
      <w:r w:rsidRPr="003E6AE3">
        <w:rPr>
          <w:rFonts w:eastAsia="Times New Roman" w:cs="Times New Roman"/>
          <w:szCs w:val="24"/>
        </w:rPr>
        <w:t>nímž jsou příslušné hospodařit anebo s</w:t>
      </w:r>
      <w:r w:rsidR="008C19D9" w:rsidRPr="003E6AE3">
        <w:rPr>
          <w:rFonts w:eastAsia="Times New Roman" w:cs="Times New Roman"/>
          <w:szCs w:val="24"/>
        </w:rPr>
        <w:t> </w:t>
      </w:r>
      <w:r w:rsidRPr="003E6AE3">
        <w:rPr>
          <w:rFonts w:eastAsia="Times New Roman" w:cs="Times New Roman"/>
          <w:szCs w:val="24"/>
        </w:rPr>
        <w:t>nímž mají právo hospodařit státní organizace zřízené nebo založené Ministerstvem obrany,</w:t>
      </w:r>
    </w:p>
    <w:p w14:paraId="4591565F" w14:textId="36824CA7"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f) pověřené orgány Bezpečnostní informační služby v</w:t>
      </w:r>
      <w:r w:rsidR="008C19D9" w:rsidRPr="003E6AE3">
        <w:rPr>
          <w:rFonts w:eastAsia="Times New Roman" w:cs="Times New Roman"/>
          <w:szCs w:val="24"/>
        </w:rPr>
        <w:t> </w:t>
      </w:r>
      <w:r w:rsidRPr="003E6AE3">
        <w:rPr>
          <w:rFonts w:eastAsia="Times New Roman" w:cs="Times New Roman"/>
          <w:szCs w:val="24"/>
        </w:rPr>
        <w:t>řízení o trestných činech příslušníků Bezpečnostní informační služby,</w:t>
      </w:r>
    </w:p>
    <w:p w14:paraId="73AB4942" w14:textId="497559EF"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g) pověřené orgány Úřadu pro zahraniční styky a informace v</w:t>
      </w:r>
      <w:r w:rsidR="008C19D9" w:rsidRPr="003E6AE3">
        <w:rPr>
          <w:rFonts w:eastAsia="Times New Roman" w:cs="Times New Roman"/>
          <w:szCs w:val="24"/>
        </w:rPr>
        <w:t> </w:t>
      </w:r>
      <w:r w:rsidRPr="003E6AE3">
        <w:rPr>
          <w:rFonts w:eastAsia="Times New Roman" w:cs="Times New Roman"/>
          <w:szCs w:val="24"/>
        </w:rPr>
        <w:t>řízení o trestných činech příslušníků Úřadu pro zahraniční styky a informace,</w:t>
      </w:r>
    </w:p>
    <w:p w14:paraId="0D266583" w14:textId="6B07B884"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h) pověřené orgány Vojenského zpravodajství v</w:t>
      </w:r>
      <w:r w:rsidR="008C19D9" w:rsidRPr="003E6AE3">
        <w:rPr>
          <w:rFonts w:eastAsia="Times New Roman" w:cs="Times New Roman"/>
          <w:szCs w:val="24"/>
        </w:rPr>
        <w:t> </w:t>
      </w:r>
      <w:r w:rsidRPr="003E6AE3">
        <w:rPr>
          <w:rFonts w:eastAsia="Times New Roman" w:cs="Times New Roman"/>
          <w:szCs w:val="24"/>
        </w:rPr>
        <w:t>řízení o trestných činech příslušníků Vojenského zpravodajství,</w:t>
      </w:r>
    </w:p>
    <w:p w14:paraId="151101DF" w14:textId="7757C3B7" w:rsidR="000153DB" w:rsidRPr="003E6AE3" w:rsidRDefault="000153DB" w:rsidP="008E1253">
      <w:pPr>
        <w:tabs>
          <w:tab w:val="left" w:pos="851"/>
        </w:tabs>
        <w:spacing w:line="240" w:lineRule="auto"/>
        <w:ind w:left="284" w:hanging="284"/>
        <w:rPr>
          <w:rFonts w:eastAsia="Times New Roman" w:cs="Times New Roman"/>
          <w:bCs/>
          <w:szCs w:val="24"/>
        </w:rPr>
      </w:pPr>
      <w:r w:rsidRPr="003E6AE3">
        <w:rPr>
          <w:rFonts w:eastAsia="Times New Roman" w:cs="Times New Roman"/>
          <w:szCs w:val="24"/>
        </w:rPr>
        <w:t>i) pověřené orgány Generální inspekce bezpečnostních sborů v</w:t>
      </w:r>
      <w:r w:rsidR="008C19D9" w:rsidRPr="003E6AE3">
        <w:rPr>
          <w:rFonts w:eastAsia="Times New Roman" w:cs="Times New Roman"/>
          <w:szCs w:val="24"/>
        </w:rPr>
        <w:t> </w:t>
      </w:r>
      <w:r w:rsidRPr="003E6AE3">
        <w:rPr>
          <w:rFonts w:eastAsia="Times New Roman" w:cs="Times New Roman"/>
          <w:szCs w:val="24"/>
        </w:rPr>
        <w:t>řízení o trestných činech příslušníků Generální inspekce bezpečnostních sborů nebo o trestných činech zaměstnanců České republiky, zařazených k</w:t>
      </w:r>
      <w:r w:rsidR="008C19D9" w:rsidRPr="003E6AE3">
        <w:rPr>
          <w:rFonts w:eastAsia="Times New Roman" w:cs="Times New Roman"/>
          <w:szCs w:val="24"/>
        </w:rPr>
        <w:t> </w:t>
      </w:r>
      <w:r w:rsidRPr="003E6AE3">
        <w:rPr>
          <w:rFonts w:eastAsia="Times New Roman" w:cs="Times New Roman"/>
          <w:szCs w:val="24"/>
        </w:rPr>
        <w:t>výkonu práce v</w:t>
      </w:r>
      <w:r w:rsidR="008C19D9" w:rsidRPr="003E6AE3">
        <w:rPr>
          <w:rFonts w:eastAsia="Times New Roman" w:cs="Times New Roman"/>
          <w:szCs w:val="24"/>
        </w:rPr>
        <w:t> </w:t>
      </w:r>
      <w:r w:rsidRPr="003E6AE3">
        <w:rPr>
          <w:rFonts w:eastAsia="Times New Roman" w:cs="Times New Roman"/>
          <w:szCs w:val="24"/>
        </w:rPr>
        <w:t>Generální inspekci bezpečnostních sborů.</w:t>
      </w:r>
    </w:p>
    <w:p w14:paraId="48819317" w14:textId="77777777" w:rsidR="000153DB" w:rsidRPr="003E6AE3" w:rsidRDefault="000153DB" w:rsidP="008E1253">
      <w:pPr>
        <w:tabs>
          <w:tab w:val="left" w:pos="851"/>
        </w:tabs>
        <w:spacing w:line="240" w:lineRule="auto"/>
        <w:rPr>
          <w:rFonts w:eastAsia="Times New Roman" w:cs="Times New Roman"/>
          <w:bCs/>
          <w:szCs w:val="24"/>
        </w:rPr>
      </w:pPr>
      <w:r w:rsidRPr="003E6AE3">
        <w:rPr>
          <w:rFonts w:eastAsia="Times New Roman" w:cs="Times New Roman"/>
          <w:szCs w:val="24"/>
        </w:rPr>
        <w:t>Tím není dotčeno oprávnění státního zástupce podle § 157 odst. 2 písm. b). Není-li dále stanoveno jinak, jsou uvedené orgány oprávněny ke všem úkonům trestního řízení patřícím do působnosti policejního orgánu.</w:t>
      </w:r>
    </w:p>
    <w:p w14:paraId="2DF4B359" w14:textId="77777777"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(3) Kde tento zákon mluví o soudu, rozumí se tím podle povahy věci okresní soud, krajský soud, vrchní soud nebo Nejvyšší soud.</w:t>
      </w:r>
    </w:p>
    <w:p w14:paraId="1F911694" w14:textId="73BD8DE7"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(4) Kde tento zákon mluví o okresním soudu, rozumí se tím i obvodní soud, popřípadě jiný soud se stejnou působností; kde tento zákon mluví o krajském soudu, rozumí se tím i městský soud v</w:t>
      </w:r>
      <w:r w:rsidR="008C19D9" w:rsidRPr="003E6AE3">
        <w:rPr>
          <w:rFonts w:eastAsia="Times New Roman" w:cs="Times New Roman"/>
          <w:szCs w:val="24"/>
        </w:rPr>
        <w:t> </w:t>
      </w:r>
      <w:r w:rsidRPr="003E6AE3">
        <w:rPr>
          <w:rFonts w:eastAsia="Times New Roman" w:cs="Times New Roman"/>
          <w:szCs w:val="24"/>
        </w:rPr>
        <w:t>Praze.</w:t>
      </w:r>
    </w:p>
    <w:p w14:paraId="1C1BFCEA" w14:textId="104017B4" w:rsidR="000153DB" w:rsidRPr="003E6AE3" w:rsidRDefault="000153DB" w:rsidP="008E1253">
      <w:pPr>
        <w:tabs>
          <w:tab w:val="left" w:pos="851"/>
        </w:tabs>
        <w:spacing w:line="240" w:lineRule="auto"/>
        <w:ind w:firstLine="425"/>
        <w:rPr>
          <w:rFonts w:eastAsia="Times New Roman" w:cs="Times New Roman"/>
          <w:bCs/>
          <w:szCs w:val="24"/>
        </w:rPr>
      </w:pPr>
      <w:r w:rsidRPr="003E6AE3">
        <w:rPr>
          <w:rFonts w:cs="Times New Roman"/>
          <w:szCs w:val="24"/>
        </w:rPr>
        <w:t>(5) Kde tento zákon mluví o předsedovi senátu, rozumí se tím i samosoudce, nevyplývá</w:t>
      </w:r>
      <w:r w:rsidRPr="003E6AE3">
        <w:rPr>
          <w:rFonts w:cs="Times New Roman"/>
          <w:szCs w:val="24"/>
        </w:rPr>
        <w:noBreakHyphen/>
        <w:t>li z</w:t>
      </w:r>
      <w:r w:rsidR="008C19D9" w:rsidRPr="003E6AE3">
        <w:rPr>
          <w:rFonts w:cs="Times New Roman"/>
          <w:szCs w:val="24"/>
        </w:rPr>
        <w:t> </w:t>
      </w:r>
      <w:r w:rsidRPr="003E6AE3">
        <w:rPr>
          <w:rFonts w:cs="Times New Roman"/>
          <w:szCs w:val="24"/>
        </w:rPr>
        <w:t>povahy věci něco jiného</w:t>
      </w:r>
    </w:p>
    <w:p w14:paraId="78C26BFB" w14:textId="7EC23830"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(6) Kde tento zákon mluví o okresním státním zástupci, rozumí se tím i obvodní státní zástupce, popřípadě jiný státní zástupce se stejnou působností; kde tento zákon mluví o krajském státním zástupci, rozumí se tím i městský státní zástupce v</w:t>
      </w:r>
      <w:r w:rsidR="008C19D9" w:rsidRPr="003E6AE3">
        <w:rPr>
          <w:rFonts w:eastAsia="Times New Roman" w:cs="Times New Roman"/>
          <w:szCs w:val="24"/>
        </w:rPr>
        <w:t> </w:t>
      </w:r>
      <w:r w:rsidRPr="003E6AE3">
        <w:rPr>
          <w:rFonts w:eastAsia="Times New Roman" w:cs="Times New Roman"/>
          <w:szCs w:val="24"/>
        </w:rPr>
        <w:t>Praze. Státním zástupcem se rozumí i evropský pověřený žalobce, evropský žalobce a evropský nejvyšší žalobce v</w:t>
      </w:r>
      <w:r w:rsidR="008C19D9" w:rsidRPr="003E6AE3">
        <w:rPr>
          <w:rFonts w:eastAsia="Times New Roman" w:cs="Times New Roman"/>
          <w:szCs w:val="24"/>
        </w:rPr>
        <w:t> </w:t>
      </w:r>
      <w:r w:rsidRPr="003E6AE3">
        <w:rPr>
          <w:rFonts w:eastAsia="Times New Roman" w:cs="Times New Roman"/>
          <w:szCs w:val="24"/>
        </w:rPr>
        <w:t>rozsahu jejich působnosti stanovené nařízením Rady (EU) 2017/1939, kterým se provádí posílená spolupráce za účelem zřízení Úřadu evropského veřejného žalobce.</w:t>
      </w:r>
    </w:p>
    <w:p w14:paraId="55B56741" w14:textId="1FB46BA4"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(7) Stranou se rozumí ten, proti němuž se vede trestní řízení, zúčastněná osoba a poškozený a v</w:t>
      </w:r>
      <w:r w:rsidR="008C19D9" w:rsidRPr="003E6AE3">
        <w:rPr>
          <w:rFonts w:eastAsia="Times New Roman" w:cs="Times New Roman"/>
          <w:szCs w:val="24"/>
        </w:rPr>
        <w:t> </w:t>
      </w:r>
      <w:r w:rsidRPr="003E6AE3">
        <w:rPr>
          <w:rFonts w:eastAsia="Times New Roman" w:cs="Times New Roman"/>
          <w:szCs w:val="24"/>
        </w:rPr>
        <w:t xml:space="preserve">řízení před soudem též státní zástupce </w:t>
      </w:r>
      <w:r w:rsidRPr="003E6AE3">
        <w:rPr>
          <w:rFonts w:eastAsia="Times New Roman" w:cs="Times New Roman"/>
          <w:strike/>
          <w:szCs w:val="24"/>
        </w:rPr>
        <w:t>a společenský zástupce</w:t>
      </w:r>
      <w:r w:rsidRPr="003E6AE3">
        <w:rPr>
          <w:rFonts w:eastAsia="Times New Roman" w:cs="Times New Roman"/>
          <w:szCs w:val="24"/>
        </w:rPr>
        <w:t>; stejné postavení jako strana má i jiná osoba, na jejíž návrh nebo žádost se řízení vede nebo která podala opravný prostředek.</w:t>
      </w:r>
    </w:p>
    <w:p w14:paraId="2B47182F" w14:textId="6C913B58"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(8) Pokud z</w:t>
      </w:r>
      <w:r w:rsidR="008C19D9" w:rsidRPr="003E6AE3">
        <w:rPr>
          <w:rFonts w:eastAsia="Times New Roman" w:cs="Times New Roman"/>
          <w:szCs w:val="24"/>
        </w:rPr>
        <w:t> </w:t>
      </w:r>
      <w:r w:rsidRPr="003E6AE3">
        <w:rPr>
          <w:rFonts w:eastAsia="Times New Roman" w:cs="Times New Roman"/>
          <w:szCs w:val="24"/>
        </w:rPr>
        <w:t>povahy věci nevyplývá něco jiného, rozumí se obviněným též obžalovaný a odsouzený.</w:t>
      </w:r>
    </w:p>
    <w:p w14:paraId="6177884E" w14:textId="77777777"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(9) Po nařízení hlavního líčení se obviněný označuje jako obžalovaný.</w:t>
      </w:r>
    </w:p>
    <w:p w14:paraId="41B5123F" w14:textId="77777777"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(10) Odsouzeným je ten, proti němuž byl vydán odsuzující rozsudek, který již nabyl právní moci.</w:t>
      </w:r>
    </w:p>
    <w:p w14:paraId="5A89C2AB" w14:textId="4D56A5E5"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(11) Trestním řízením se rozumí řízení podle tohoto zákona a zákona o mezinárodní justiční spolupráci ve věcech trestních, trestním stíháním pak úsek řízení od zahájení trestního stíhání až do právní moci rozsudku, případně jiného rozhodnutí orgánu činného v</w:t>
      </w:r>
      <w:r w:rsidR="008C19D9" w:rsidRPr="003E6AE3">
        <w:rPr>
          <w:rFonts w:eastAsia="Times New Roman" w:cs="Times New Roman"/>
          <w:szCs w:val="24"/>
        </w:rPr>
        <w:t> </w:t>
      </w:r>
      <w:r w:rsidRPr="003E6AE3">
        <w:rPr>
          <w:rFonts w:eastAsia="Times New Roman" w:cs="Times New Roman"/>
          <w:szCs w:val="24"/>
        </w:rPr>
        <w:t xml:space="preserve">trestním řízení ve věci samé a přípravným řízením úsek řízení podle tohoto zákona od sepsání záznamu o zahájení úkonů trestního řízení nebo provedení neodkladných a neopakovatelných úkonů, které mu bezprostředně předcházejí, a nebyly-li tyto úkony provedeny, od zahájení trestního stíhání do podání obžaloby, návrhu na schválení dohody o vině a trestu, postoupení věci jinému orgánu, zastavení trestního stíhání, nebo do rozhodnutí či vzniku jiné skutečnosti, jež mají účinky zastavení trestního stíhání před podáním obžaloby, anebo do jiného rozhodnutí ukončujícího přípravné řízení, zahrnující objasňování a prověřování skutečností nasvědčujících tomu, že byl spáchán trestný čin, a vyšetřování. </w:t>
      </w:r>
    </w:p>
    <w:p w14:paraId="71FDF468" w14:textId="4568A7BA" w:rsidR="000153DB" w:rsidRPr="003E6AE3" w:rsidRDefault="000153DB" w:rsidP="008E1253">
      <w:pPr>
        <w:tabs>
          <w:tab w:val="left" w:pos="851"/>
        </w:tabs>
        <w:spacing w:line="240" w:lineRule="auto"/>
        <w:ind w:firstLine="425"/>
        <w:rPr>
          <w:rFonts w:eastAsia="Times New Roman" w:cs="Times New Roman"/>
          <w:bCs/>
          <w:szCs w:val="24"/>
        </w:rPr>
      </w:pPr>
      <w:r w:rsidRPr="003E6AE3">
        <w:rPr>
          <w:rFonts w:eastAsia="Times New Roman" w:cs="Times New Roman"/>
          <w:szCs w:val="24"/>
        </w:rPr>
        <w:t>(12) Pokračuje-li obviněný v</w:t>
      </w:r>
      <w:r w:rsidR="008C19D9" w:rsidRPr="003E6AE3">
        <w:rPr>
          <w:rFonts w:eastAsia="Times New Roman" w:cs="Times New Roman"/>
          <w:szCs w:val="24"/>
        </w:rPr>
        <w:t> </w:t>
      </w:r>
      <w:r w:rsidRPr="003E6AE3">
        <w:rPr>
          <w:rFonts w:eastAsia="Times New Roman" w:cs="Times New Roman"/>
          <w:szCs w:val="24"/>
        </w:rPr>
        <w:t>jednání, pro které je stíhán, i po sdělení obvinění, posuzuje se takové jednání od tohoto úkonu jako nový skutek.</w:t>
      </w:r>
    </w:p>
    <w:p w14:paraId="40AC857F" w14:textId="3B6687DF" w:rsidR="004E5475" w:rsidRPr="003E6AE3" w:rsidRDefault="000153DB" w:rsidP="008E1253">
      <w:pPr>
        <w:tabs>
          <w:tab w:val="left" w:pos="851"/>
        </w:tabs>
        <w:spacing w:line="240" w:lineRule="auto"/>
        <w:ind w:firstLine="425"/>
        <w:rPr>
          <w:rFonts w:eastAsia="Times New Roman" w:cs="Times New Roman"/>
          <w:szCs w:val="24"/>
        </w:rPr>
      </w:pPr>
      <w:r w:rsidRPr="003E6AE3">
        <w:rPr>
          <w:rFonts w:eastAsia="Times New Roman" w:cs="Times New Roman"/>
          <w:szCs w:val="24"/>
        </w:rPr>
        <w:t>(13) Skutkem podle tohoto zákona se rozumí též dílčí útok pokračujícího trestného činu, není-li výslovně stanoveno jinak.</w:t>
      </w:r>
    </w:p>
    <w:p w14:paraId="481CCE9B" w14:textId="1E822CF0" w:rsidR="00E8599F" w:rsidRPr="003E6AE3" w:rsidRDefault="00E8599F" w:rsidP="008E1253">
      <w:pPr>
        <w:spacing w:line="240" w:lineRule="auto"/>
        <w:ind w:firstLine="426"/>
        <w:rPr>
          <w:rFonts w:cs="Times New Roman"/>
          <w:color w:val="FF0000"/>
          <w:szCs w:val="24"/>
        </w:rPr>
      </w:pPr>
      <w:r w:rsidRPr="003E6AE3">
        <w:rPr>
          <w:rFonts w:cs="Times New Roman"/>
          <w:b/>
          <w:bCs/>
          <w:color w:val="FF0000"/>
          <w:szCs w:val="24"/>
        </w:rPr>
        <w:t>(14) Svěřenským fondem se rozumí svěřenský fond podle občanského zákoníku a</w:t>
      </w:r>
      <w:r w:rsidR="00902E63">
        <w:rPr>
          <w:rFonts w:cs="Times New Roman"/>
          <w:b/>
          <w:bCs/>
          <w:color w:val="FF0000"/>
          <w:szCs w:val="24"/>
        </w:rPr>
        <w:t> </w:t>
      </w:r>
      <w:r w:rsidRPr="003E6AE3">
        <w:rPr>
          <w:rFonts w:cs="Times New Roman"/>
          <w:b/>
          <w:bCs/>
          <w:color w:val="FF0000"/>
          <w:szCs w:val="24"/>
        </w:rPr>
        <w:t>jemu strukturou nebo funkcemi podobné zařízení řídící se právem jiného státu.</w:t>
      </w:r>
    </w:p>
    <w:p w14:paraId="57B582B9" w14:textId="4EC041E3" w:rsidR="00925F2E" w:rsidRPr="00902E63" w:rsidRDefault="00925F2E" w:rsidP="008E1253">
      <w:pPr>
        <w:keepNext/>
        <w:spacing w:line="240" w:lineRule="auto"/>
        <w:jc w:val="center"/>
        <w:outlineLvl w:val="1"/>
        <w:rPr>
          <w:rFonts w:eastAsia="Arial" w:cs="Times New Roman"/>
          <w:bCs/>
          <w:strike/>
          <w:szCs w:val="24"/>
          <w:lang w:eastAsia="cs-CZ"/>
        </w:rPr>
      </w:pPr>
      <w:r w:rsidRPr="00902E63">
        <w:rPr>
          <w:rFonts w:eastAsia="Arial" w:cs="Times New Roman"/>
          <w:bCs/>
          <w:strike/>
          <w:szCs w:val="24"/>
          <w:lang w:eastAsia="cs-CZ"/>
        </w:rPr>
        <w:t>§ 27</w:t>
      </w:r>
    </w:p>
    <w:p w14:paraId="386ADADA" w14:textId="77777777" w:rsidR="00925F2E" w:rsidRPr="003E6AE3" w:rsidRDefault="00925F2E" w:rsidP="008E1253">
      <w:pPr>
        <w:tabs>
          <w:tab w:val="left" w:pos="851"/>
        </w:tabs>
        <w:spacing w:line="240" w:lineRule="auto"/>
        <w:jc w:val="center"/>
        <w:rPr>
          <w:rFonts w:eastAsia="Times New Roman" w:cs="Times New Roman"/>
          <w:strike/>
          <w:szCs w:val="24"/>
        </w:rPr>
      </w:pPr>
      <w:r w:rsidRPr="003E6AE3">
        <w:rPr>
          <w:rFonts w:eastAsia="Times New Roman" w:cs="Times New Roman"/>
          <w:strike/>
          <w:szCs w:val="24"/>
        </w:rPr>
        <w:t>Zapisovatel</w:t>
      </w:r>
    </w:p>
    <w:p w14:paraId="330E3CE8" w14:textId="35AB4B90" w:rsidR="00902E63" w:rsidRPr="00881D11" w:rsidRDefault="00925F2E" w:rsidP="00881D11">
      <w:pPr>
        <w:tabs>
          <w:tab w:val="left" w:pos="426"/>
        </w:tabs>
        <w:spacing w:line="240" w:lineRule="auto"/>
        <w:ind w:firstLine="426"/>
        <w:rPr>
          <w:rFonts w:eastAsia="Times New Roman" w:cs="Times New Roman"/>
          <w:strike/>
          <w:szCs w:val="24"/>
        </w:rPr>
      </w:pPr>
      <w:r w:rsidRPr="003E6AE3">
        <w:rPr>
          <w:rFonts w:eastAsia="Times New Roman" w:cs="Times New Roman"/>
          <w:strike/>
          <w:szCs w:val="24"/>
        </w:rPr>
        <w:t>K sepsání protokolu o úkonech orgánů činných v trestním řízení se přibere zpravidla zapisovatel vzatý do slibu. Nebyl-li zapisovatel přibrán, sepíše protokol osoba provádějící úkon. Je-li v řízení před soudem o průběhu úkonu pořizován zvukový záznam a v důsledku tohoto předseda senátu nediktuje protokol, je zapisovatelem, pokud je ho třeba, vyšší soudní úředník nebo protokolující úředník.</w:t>
      </w:r>
    </w:p>
    <w:p w14:paraId="293120EC" w14:textId="358A1F6C" w:rsidR="00963912" w:rsidRPr="00902E63" w:rsidRDefault="00963912" w:rsidP="008E1253">
      <w:pPr>
        <w:keepNext/>
        <w:spacing w:line="240" w:lineRule="auto"/>
        <w:jc w:val="center"/>
        <w:outlineLvl w:val="1"/>
        <w:rPr>
          <w:rFonts w:eastAsia="Arial" w:cs="Times New Roman"/>
          <w:b/>
          <w:szCs w:val="24"/>
          <w:lang w:eastAsia="cs-CZ"/>
        </w:rPr>
      </w:pPr>
      <w:r w:rsidRPr="00902E63">
        <w:rPr>
          <w:rFonts w:eastAsia="Arial" w:cs="Times New Roman"/>
          <w:b/>
          <w:szCs w:val="24"/>
          <w:lang w:eastAsia="cs-CZ"/>
        </w:rPr>
        <w:t>§ 27</w:t>
      </w:r>
    </w:p>
    <w:p w14:paraId="5CC8BB79" w14:textId="77777777" w:rsidR="00963912" w:rsidRPr="003E6AE3" w:rsidRDefault="00963912" w:rsidP="008E1253">
      <w:pPr>
        <w:shd w:val="clear" w:color="auto" w:fill="FFFFFF"/>
        <w:spacing w:line="240" w:lineRule="auto"/>
        <w:jc w:val="center"/>
        <w:rPr>
          <w:rFonts w:cs="Times New Roman"/>
          <w:b/>
          <w:bCs/>
          <w:szCs w:val="24"/>
        </w:rPr>
      </w:pPr>
      <w:r w:rsidRPr="003E6AE3">
        <w:rPr>
          <w:rFonts w:cs="Times New Roman"/>
          <w:b/>
          <w:bCs/>
          <w:szCs w:val="24"/>
        </w:rPr>
        <w:t>Zapisovatel</w:t>
      </w:r>
    </w:p>
    <w:p w14:paraId="077E9F5E" w14:textId="211857B0" w:rsidR="00881D11" w:rsidRPr="00881D11" w:rsidRDefault="00881D11" w:rsidP="00881D11">
      <w:pPr>
        <w:widowControl w:val="0"/>
        <w:spacing w:line="240" w:lineRule="auto"/>
        <w:ind w:firstLine="425"/>
        <w:rPr>
          <w:b/>
          <w:bCs/>
        </w:rPr>
      </w:pPr>
      <w:r w:rsidRPr="00881D11">
        <w:rPr>
          <w:b/>
          <w:bCs/>
          <w:color w:val="232323"/>
        </w:rPr>
        <w:t xml:space="preserve">K sepsání protokolu o úkonech orgánů činných v trestním řízení, pokud je sepsání </w:t>
      </w:r>
      <w:r w:rsidRPr="00881D11">
        <w:rPr>
          <w:b/>
          <w:bCs/>
        </w:rPr>
        <w:t>protokolu třeba, se přibere zpravidla </w:t>
      </w:r>
      <w:bookmarkStart w:id="7" w:name="lema1"/>
      <w:bookmarkEnd w:id="7"/>
      <w:r w:rsidRPr="00881D11">
        <w:rPr>
          <w:b/>
          <w:bCs/>
        </w:rPr>
        <w:t>zapisovatel vzatý do slibu. Není-li zapisovatel přibrán, sepíše protokol osoba provádějící úkon. Není-li v řízení před soudem o průběhu úkonu pořizován zvukový záznam a v důsledku tohoto předseda senátu diktuje protokol, může být </w:t>
      </w:r>
      <w:bookmarkStart w:id="8" w:name="lema3"/>
      <w:bookmarkEnd w:id="8"/>
      <w:r w:rsidRPr="00881D11">
        <w:rPr>
          <w:b/>
          <w:bCs/>
        </w:rPr>
        <w:t>zapisovatelem též vyšší soudní úředník, protokolující úředník, soudní tajemník, justiční kandidát nebo asistent soudce.</w:t>
      </w:r>
    </w:p>
    <w:p w14:paraId="3EDBFF58" w14:textId="63B52FB3" w:rsidR="00531C46" w:rsidRPr="00902E63" w:rsidRDefault="00531C46" w:rsidP="008E1253">
      <w:pPr>
        <w:keepNext/>
        <w:spacing w:line="240" w:lineRule="auto"/>
        <w:jc w:val="center"/>
        <w:outlineLvl w:val="1"/>
        <w:rPr>
          <w:rFonts w:eastAsia="Arial" w:cs="Times New Roman"/>
          <w:bCs/>
          <w:szCs w:val="24"/>
          <w:lang w:eastAsia="cs-CZ"/>
        </w:rPr>
      </w:pPr>
      <w:r w:rsidRPr="00902E63">
        <w:rPr>
          <w:rFonts w:eastAsia="Arial" w:cs="Times New Roman"/>
          <w:bCs/>
          <w:szCs w:val="24"/>
          <w:lang w:eastAsia="cs-CZ"/>
        </w:rPr>
        <w:t>§ 30</w:t>
      </w:r>
    </w:p>
    <w:p w14:paraId="7510FEE7" w14:textId="53411CB1" w:rsidR="00531C46" w:rsidRPr="00902E63" w:rsidRDefault="00531C46" w:rsidP="008E1253">
      <w:pPr>
        <w:tabs>
          <w:tab w:val="left" w:pos="851"/>
        </w:tabs>
        <w:spacing w:line="240" w:lineRule="auto"/>
        <w:ind w:firstLine="425"/>
        <w:rPr>
          <w:rFonts w:eastAsia="Times New Roman" w:cs="Times New Roman"/>
          <w:szCs w:val="24"/>
        </w:rPr>
      </w:pPr>
      <w:r w:rsidRPr="00902E63">
        <w:rPr>
          <w:rFonts w:eastAsia="Times New Roman" w:cs="Times New Roman"/>
          <w:szCs w:val="24"/>
        </w:rPr>
        <w:t>(1) Z</w:t>
      </w:r>
      <w:r w:rsidR="008C19D9" w:rsidRPr="00902E63">
        <w:rPr>
          <w:rFonts w:eastAsia="Times New Roman" w:cs="Times New Roman"/>
          <w:szCs w:val="24"/>
        </w:rPr>
        <w:t> </w:t>
      </w:r>
      <w:r w:rsidRPr="00902E63">
        <w:rPr>
          <w:rFonts w:eastAsia="Times New Roman" w:cs="Times New Roman"/>
          <w:szCs w:val="24"/>
        </w:rPr>
        <w:t>vykonávání úkonů trestního řízení je vyloučen soudce nebo přísedící, státní zástupce, policejní orgán nebo osoba v</w:t>
      </w:r>
      <w:r w:rsidR="008C19D9" w:rsidRPr="00902E63">
        <w:rPr>
          <w:rFonts w:eastAsia="Times New Roman" w:cs="Times New Roman"/>
          <w:szCs w:val="24"/>
        </w:rPr>
        <w:t> </w:t>
      </w:r>
      <w:r w:rsidRPr="00902E63">
        <w:rPr>
          <w:rFonts w:eastAsia="Times New Roman" w:cs="Times New Roman"/>
          <w:szCs w:val="24"/>
        </w:rPr>
        <w:t>něm služebně činná, u něhož lze mít pochybnosti, že pro poměr k</w:t>
      </w:r>
      <w:r w:rsidR="008C19D9" w:rsidRPr="00902E63">
        <w:rPr>
          <w:rFonts w:eastAsia="Times New Roman" w:cs="Times New Roman"/>
          <w:szCs w:val="24"/>
        </w:rPr>
        <w:t> </w:t>
      </w:r>
      <w:r w:rsidRPr="00902E63">
        <w:rPr>
          <w:rFonts w:eastAsia="Times New Roman" w:cs="Times New Roman"/>
          <w:szCs w:val="24"/>
        </w:rPr>
        <w:t>projednávané věci nebo k</w:t>
      </w:r>
      <w:r w:rsidR="008C19D9" w:rsidRPr="00902E63">
        <w:rPr>
          <w:rFonts w:eastAsia="Times New Roman" w:cs="Times New Roman"/>
          <w:szCs w:val="24"/>
        </w:rPr>
        <w:t> </w:t>
      </w:r>
      <w:r w:rsidRPr="00902E63">
        <w:rPr>
          <w:rFonts w:eastAsia="Times New Roman" w:cs="Times New Roman"/>
          <w:szCs w:val="24"/>
        </w:rPr>
        <w:t>osobám, jichž se úkon přímo dotýká, k</w:t>
      </w:r>
      <w:r w:rsidR="008C19D9" w:rsidRPr="00902E63">
        <w:rPr>
          <w:rFonts w:eastAsia="Times New Roman" w:cs="Times New Roman"/>
          <w:szCs w:val="24"/>
        </w:rPr>
        <w:t> </w:t>
      </w:r>
      <w:r w:rsidRPr="00902E63">
        <w:rPr>
          <w:rFonts w:eastAsia="Times New Roman" w:cs="Times New Roman"/>
          <w:szCs w:val="24"/>
        </w:rPr>
        <w:t>jejich obhájcům, zákonným zástupcům, opatrovníkům a zmocněncům, nebo pro poměr k</w:t>
      </w:r>
      <w:r w:rsidR="008C19D9" w:rsidRPr="00902E63">
        <w:rPr>
          <w:rFonts w:eastAsia="Times New Roman" w:cs="Times New Roman"/>
          <w:szCs w:val="24"/>
        </w:rPr>
        <w:t> </w:t>
      </w:r>
      <w:r w:rsidRPr="00902E63">
        <w:rPr>
          <w:rFonts w:eastAsia="Times New Roman" w:cs="Times New Roman"/>
          <w:szCs w:val="24"/>
        </w:rPr>
        <w:t>jinému orgánu činnému v</w:t>
      </w:r>
      <w:r w:rsidR="008C19D9" w:rsidRPr="00902E63">
        <w:rPr>
          <w:rFonts w:eastAsia="Times New Roman" w:cs="Times New Roman"/>
          <w:szCs w:val="24"/>
        </w:rPr>
        <w:t> </w:t>
      </w:r>
      <w:r w:rsidRPr="00902E63">
        <w:rPr>
          <w:rFonts w:eastAsia="Times New Roman" w:cs="Times New Roman"/>
          <w:szCs w:val="24"/>
        </w:rPr>
        <w:t>trestním řízení nemůže nestranně rozhodovat. Úkony, které byly učiněny vyloučenými osobami, nemohou být podkladem pro rozhodnutí v</w:t>
      </w:r>
      <w:r w:rsidR="008C19D9" w:rsidRPr="00902E63">
        <w:rPr>
          <w:rFonts w:eastAsia="Times New Roman" w:cs="Times New Roman"/>
          <w:szCs w:val="24"/>
        </w:rPr>
        <w:t> </w:t>
      </w:r>
      <w:r w:rsidRPr="00902E63">
        <w:rPr>
          <w:rFonts w:eastAsia="Times New Roman" w:cs="Times New Roman"/>
          <w:szCs w:val="24"/>
        </w:rPr>
        <w:t>trestním řízení.</w:t>
      </w:r>
    </w:p>
    <w:p w14:paraId="280FD1C4" w14:textId="18BEC94E" w:rsidR="00531C46" w:rsidRPr="00902E63" w:rsidRDefault="00531C46" w:rsidP="008E1253">
      <w:pPr>
        <w:tabs>
          <w:tab w:val="left" w:pos="851"/>
        </w:tabs>
        <w:spacing w:line="240" w:lineRule="auto"/>
        <w:ind w:firstLine="425"/>
        <w:rPr>
          <w:rFonts w:eastAsia="Times New Roman" w:cs="Times New Roman"/>
          <w:szCs w:val="24"/>
        </w:rPr>
      </w:pPr>
      <w:r w:rsidRPr="00902E63">
        <w:rPr>
          <w:rFonts w:eastAsia="Times New Roman" w:cs="Times New Roman"/>
          <w:szCs w:val="24"/>
        </w:rPr>
        <w:t>(2) Soudce nebo přísedící je dále vyloučen z</w:t>
      </w:r>
      <w:r w:rsidR="008C19D9" w:rsidRPr="00902E63">
        <w:rPr>
          <w:rFonts w:eastAsia="Times New Roman" w:cs="Times New Roman"/>
          <w:szCs w:val="24"/>
        </w:rPr>
        <w:t> </w:t>
      </w:r>
      <w:r w:rsidRPr="00902E63">
        <w:rPr>
          <w:rFonts w:eastAsia="Times New Roman" w:cs="Times New Roman"/>
          <w:szCs w:val="24"/>
        </w:rPr>
        <w:t>vykonávání úkonů trestního řízení, jestliže byl v</w:t>
      </w:r>
      <w:r w:rsidR="008C19D9" w:rsidRPr="00902E63">
        <w:rPr>
          <w:rFonts w:eastAsia="Times New Roman" w:cs="Times New Roman"/>
          <w:szCs w:val="24"/>
        </w:rPr>
        <w:t> </w:t>
      </w:r>
      <w:r w:rsidRPr="00902E63">
        <w:rPr>
          <w:rFonts w:eastAsia="Times New Roman" w:cs="Times New Roman"/>
          <w:szCs w:val="24"/>
        </w:rPr>
        <w:t>projednávané věci činný jako státní zástupce, policejní orgán</w:t>
      </w:r>
      <w:r w:rsidRPr="00373B0F">
        <w:rPr>
          <w:rFonts w:eastAsia="Times New Roman" w:cs="Times New Roman"/>
          <w:strike/>
          <w:szCs w:val="24"/>
        </w:rPr>
        <w:t>, společenský zástupce</w:t>
      </w:r>
      <w:r w:rsidRPr="00902E63">
        <w:rPr>
          <w:rFonts w:eastAsia="Times New Roman" w:cs="Times New Roman"/>
          <w:szCs w:val="24"/>
        </w:rPr>
        <w:t>, obhájce nebo jako zmocněnec zúčastněné osoby nebo poškozeného. Po podání obžaloby nebo návrhu na schválení dohody o vině a trestu je vyloučen z</w:t>
      </w:r>
      <w:r w:rsidR="008C19D9" w:rsidRPr="00902E63">
        <w:rPr>
          <w:rFonts w:eastAsia="Times New Roman" w:cs="Times New Roman"/>
          <w:szCs w:val="24"/>
        </w:rPr>
        <w:t> </w:t>
      </w:r>
      <w:r w:rsidRPr="00902E63">
        <w:rPr>
          <w:rFonts w:eastAsia="Times New Roman" w:cs="Times New Roman"/>
          <w:szCs w:val="24"/>
        </w:rPr>
        <w:t>vykonávání úkonů trestního řízení soudce, který v</w:t>
      </w:r>
      <w:r w:rsidR="008C19D9" w:rsidRPr="00902E63">
        <w:rPr>
          <w:rFonts w:eastAsia="Times New Roman" w:cs="Times New Roman"/>
          <w:szCs w:val="24"/>
        </w:rPr>
        <w:t> </w:t>
      </w:r>
      <w:r w:rsidRPr="00902E63">
        <w:rPr>
          <w:rFonts w:eastAsia="Times New Roman" w:cs="Times New Roman"/>
          <w:szCs w:val="24"/>
        </w:rPr>
        <w:t>projednávané věci v</w:t>
      </w:r>
      <w:r w:rsidR="008C19D9" w:rsidRPr="00902E63">
        <w:rPr>
          <w:rFonts w:eastAsia="Times New Roman" w:cs="Times New Roman"/>
          <w:szCs w:val="24"/>
        </w:rPr>
        <w:t> </w:t>
      </w:r>
      <w:r w:rsidRPr="00902E63">
        <w:rPr>
          <w:rFonts w:eastAsia="Times New Roman" w:cs="Times New Roman"/>
          <w:szCs w:val="24"/>
        </w:rPr>
        <w:t>přípravném řízení nařídil domovní prohlídku nebo prohlídku jiných prostor a pozemků, vydal příkaz k</w:t>
      </w:r>
      <w:r w:rsidR="008C19D9" w:rsidRPr="00902E63">
        <w:rPr>
          <w:rFonts w:eastAsia="Times New Roman" w:cs="Times New Roman"/>
          <w:szCs w:val="24"/>
        </w:rPr>
        <w:t> </w:t>
      </w:r>
      <w:r w:rsidRPr="00902E63">
        <w:rPr>
          <w:rFonts w:eastAsia="Times New Roman" w:cs="Times New Roman"/>
          <w:szCs w:val="24"/>
        </w:rPr>
        <w:t>zadržení nebo příkaz k</w:t>
      </w:r>
      <w:r w:rsidR="008C19D9" w:rsidRPr="00902E63">
        <w:rPr>
          <w:rFonts w:eastAsia="Times New Roman" w:cs="Times New Roman"/>
          <w:szCs w:val="24"/>
        </w:rPr>
        <w:t> </w:t>
      </w:r>
      <w:r w:rsidRPr="00902E63">
        <w:rPr>
          <w:rFonts w:eastAsia="Times New Roman" w:cs="Times New Roman"/>
          <w:szCs w:val="24"/>
        </w:rPr>
        <w:t>zatčení nebo rozhodoval o vazbě osoby, na niž byla poté podána obžaloba nebo s</w:t>
      </w:r>
      <w:r w:rsidR="008C19D9" w:rsidRPr="00902E63">
        <w:rPr>
          <w:rFonts w:eastAsia="Times New Roman" w:cs="Times New Roman"/>
          <w:szCs w:val="24"/>
        </w:rPr>
        <w:t> </w:t>
      </w:r>
      <w:r w:rsidRPr="00902E63">
        <w:rPr>
          <w:rFonts w:eastAsia="Times New Roman" w:cs="Times New Roman"/>
          <w:szCs w:val="24"/>
        </w:rPr>
        <w:t>níž byla sjednána dohoda o vině a trestu.</w:t>
      </w:r>
    </w:p>
    <w:p w14:paraId="01EF0AC6" w14:textId="74631118" w:rsidR="00531C46" w:rsidRPr="00902E63" w:rsidRDefault="00531C46" w:rsidP="008E1253">
      <w:pPr>
        <w:tabs>
          <w:tab w:val="left" w:pos="851"/>
        </w:tabs>
        <w:spacing w:line="240" w:lineRule="auto"/>
        <w:ind w:firstLine="425"/>
        <w:rPr>
          <w:rFonts w:eastAsia="Times New Roman" w:cs="Times New Roman"/>
          <w:szCs w:val="24"/>
        </w:rPr>
      </w:pPr>
      <w:r w:rsidRPr="00902E63">
        <w:rPr>
          <w:rFonts w:eastAsia="Times New Roman" w:cs="Times New Roman"/>
          <w:szCs w:val="24"/>
        </w:rPr>
        <w:t>(3) Z</w:t>
      </w:r>
      <w:r w:rsidR="008C19D9" w:rsidRPr="00902E63">
        <w:rPr>
          <w:rFonts w:eastAsia="Times New Roman" w:cs="Times New Roman"/>
          <w:szCs w:val="24"/>
        </w:rPr>
        <w:t> </w:t>
      </w:r>
      <w:r w:rsidRPr="00902E63">
        <w:rPr>
          <w:rFonts w:eastAsia="Times New Roman" w:cs="Times New Roman"/>
          <w:szCs w:val="24"/>
        </w:rPr>
        <w:t>rozhodování u soudu vyššího stupně je kromě toho vyloučen soudce nebo přísedící, který se zúčastnil rozhodování u soudu nižšího stupně, a naopak. Z</w:t>
      </w:r>
      <w:r w:rsidR="008C19D9" w:rsidRPr="00902E63">
        <w:rPr>
          <w:rFonts w:eastAsia="Times New Roman" w:cs="Times New Roman"/>
          <w:szCs w:val="24"/>
        </w:rPr>
        <w:t> </w:t>
      </w:r>
      <w:r w:rsidRPr="00902E63">
        <w:rPr>
          <w:rFonts w:eastAsia="Times New Roman" w:cs="Times New Roman"/>
          <w:szCs w:val="24"/>
        </w:rPr>
        <w:t>rozhodování o stížnosti u</w:t>
      </w:r>
      <w:r w:rsidR="00025CA3" w:rsidRPr="00902E63">
        <w:rPr>
          <w:rFonts w:eastAsia="Times New Roman" w:cs="Times New Roman"/>
          <w:szCs w:val="24"/>
        </w:rPr>
        <w:t> </w:t>
      </w:r>
      <w:r w:rsidRPr="00902E63">
        <w:rPr>
          <w:rFonts w:eastAsia="Times New Roman" w:cs="Times New Roman"/>
          <w:szCs w:val="24"/>
        </w:rPr>
        <w:t>nadřízeného orgánu je vyloučen státní zástupce, který napadené rozhodnutí učinil anebo dal k</w:t>
      </w:r>
      <w:r w:rsidR="008C19D9" w:rsidRPr="00902E63">
        <w:rPr>
          <w:rFonts w:eastAsia="Times New Roman" w:cs="Times New Roman"/>
          <w:szCs w:val="24"/>
        </w:rPr>
        <w:t> </w:t>
      </w:r>
      <w:r w:rsidRPr="00902E63">
        <w:rPr>
          <w:rFonts w:eastAsia="Times New Roman" w:cs="Times New Roman"/>
          <w:szCs w:val="24"/>
        </w:rPr>
        <w:t>němu souhlas nebo pokyn.</w:t>
      </w:r>
    </w:p>
    <w:p w14:paraId="4A7CF4BE" w14:textId="10BA9BFF" w:rsidR="00531C46" w:rsidRPr="00902E63" w:rsidRDefault="00531C46" w:rsidP="008E1253">
      <w:pPr>
        <w:tabs>
          <w:tab w:val="left" w:pos="851"/>
        </w:tabs>
        <w:spacing w:line="240" w:lineRule="auto"/>
        <w:ind w:firstLine="425"/>
        <w:rPr>
          <w:rFonts w:eastAsia="Times New Roman" w:cs="Times New Roman"/>
          <w:szCs w:val="24"/>
        </w:rPr>
      </w:pPr>
      <w:r w:rsidRPr="00902E63">
        <w:rPr>
          <w:rFonts w:eastAsia="Times New Roman" w:cs="Times New Roman"/>
          <w:szCs w:val="24"/>
        </w:rPr>
        <w:t>(4) Z</w:t>
      </w:r>
      <w:r w:rsidR="008C19D9" w:rsidRPr="00902E63">
        <w:rPr>
          <w:rFonts w:eastAsia="Times New Roman" w:cs="Times New Roman"/>
          <w:szCs w:val="24"/>
        </w:rPr>
        <w:t> </w:t>
      </w:r>
      <w:r w:rsidRPr="00902E63">
        <w:rPr>
          <w:rFonts w:eastAsia="Times New Roman" w:cs="Times New Roman"/>
          <w:szCs w:val="24"/>
        </w:rPr>
        <w:t>rozhodování o návrhu na povolení obnovy řízení je vyloučen soudce nebo přísedící, který ve věci rozhodoval v</w:t>
      </w:r>
      <w:r w:rsidR="008C19D9" w:rsidRPr="00902E63">
        <w:rPr>
          <w:rFonts w:eastAsia="Times New Roman" w:cs="Times New Roman"/>
          <w:szCs w:val="24"/>
        </w:rPr>
        <w:t> </w:t>
      </w:r>
      <w:r w:rsidRPr="00902E63">
        <w:rPr>
          <w:rFonts w:eastAsia="Times New Roman" w:cs="Times New Roman"/>
          <w:szCs w:val="24"/>
        </w:rPr>
        <w:t>původním řízení.</w:t>
      </w:r>
    </w:p>
    <w:p w14:paraId="73882094" w14:textId="2142F6B0" w:rsidR="007C5839" w:rsidRPr="00373B0F" w:rsidRDefault="00531C46" w:rsidP="008E1253">
      <w:pPr>
        <w:tabs>
          <w:tab w:val="left" w:pos="851"/>
        </w:tabs>
        <w:spacing w:line="240" w:lineRule="auto"/>
        <w:ind w:firstLine="425"/>
        <w:rPr>
          <w:rFonts w:eastAsia="Times New Roman" w:cs="Times New Roman"/>
          <w:szCs w:val="24"/>
        </w:rPr>
      </w:pPr>
      <w:r w:rsidRPr="00373B0F">
        <w:rPr>
          <w:rFonts w:eastAsia="Times New Roman" w:cs="Times New Roman"/>
          <w:szCs w:val="24"/>
        </w:rPr>
        <w:t>(5) Z</w:t>
      </w:r>
      <w:r w:rsidR="008C19D9" w:rsidRPr="00373B0F">
        <w:rPr>
          <w:rFonts w:eastAsia="Times New Roman" w:cs="Times New Roman"/>
          <w:szCs w:val="24"/>
        </w:rPr>
        <w:t> </w:t>
      </w:r>
      <w:r w:rsidRPr="00373B0F">
        <w:rPr>
          <w:rFonts w:eastAsia="Times New Roman" w:cs="Times New Roman"/>
          <w:szCs w:val="24"/>
        </w:rPr>
        <w:t>řízení o přezkumu příkazu k</w:t>
      </w:r>
      <w:r w:rsidR="008C19D9" w:rsidRPr="00373B0F">
        <w:rPr>
          <w:rFonts w:eastAsia="Times New Roman" w:cs="Times New Roman"/>
          <w:szCs w:val="24"/>
        </w:rPr>
        <w:t> </w:t>
      </w:r>
      <w:r w:rsidRPr="00373B0F">
        <w:rPr>
          <w:rFonts w:eastAsia="Times New Roman" w:cs="Times New Roman"/>
          <w:szCs w:val="24"/>
        </w:rPr>
        <w:t>odposlechu a záznamu telekomunikačního provozu je vyloučen soudce, který se zúčastnil rozhodování v</w:t>
      </w:r>
      <w:r w:rsidR="008C19D9" w:rsidRPr="00373B0F">
        <w:rPr>
          <w:rFonts w:eastAsia="Times New Roman" w:cs="Times New Roman"/>
          <w:szCs w:val="24"/>
        </w:rPr>
        <w:t> </w:t>
      </w:r>
      <w:r w:rsidRPr="00373B0F">
        <w:rPr>
          <w:rFonts w:eastAsia="Times New Roman" w:cs="Times New Roman"/>
          <w:szCs w:val="24"/>
        </w:rPr>
        <w:t>předchozím řízení. Soudce, který se účastnil rozhodování v</w:t>
      </w:r>
      <w:r w:rsidR="008C19D9" w:rsidRPr="00373B0F">
        <w:rPr>
          <w:rFonts w:eastAsia="Times New Roman" w:cs="Times New Roman"/>
          <w:szCs w:val="24"/>
        </w:rPr>
        <w:t> </w:t>
      </w:r>
      <w:r w:rsidRPr="00373B0F">
        <w:rPr>
          <w:rFonts w:eastAsia="Times New Roman" w:cs="Times New Roman"/>
          <w:szCs w:val="24"/>
        </w:rPr>
        <w:t>řízení o přezkumu příkazu k</w:t>
      </w:r>
      <w:r w:rsidR="008C19D9" w:rsidRPr="00373B0F">
        <w:rPr>
          <w:rFonts w:eastAsia="Times New Roman" w:cs="Times New Roman"/>
          <w:szCs w:val="24"/>
        </w:rPr>
        <w:t> </w:t>
      </w:r>
      <w:r w:rsidRPr="00373B0F">
        <w:rPr>
          <w:rFonts w:eastAsia="Times New Roman" w:cs="Times New Roman"/>
          <w:szCs w:val="24"/>
        </w:rPr>
        <w:t>odposlechu a záznamu telekomunikačního provozu, je v</w:t>
      </w:r>
      <w:r w:rsidR="008C19D9" w:rsidRPr="00373B0F">
        <w:rPr>
          <w:rFonts w:eastAsia="Times New Roman" w:cs="Times New Roman"/>
          <w:szCs w:val="24"/>
        </w:rPr>
        <w:t> </w:t>
      </w:r>
      <w:r w:rsidRPr="00373B0F">
        <w:rPr>
          <w:rFonts w:eastAsia="Times New Roman" w:cs="Times New Roman"/>
          <w:szCs w:val="24"/>
        </w:rPr>
        <w:t>dalším řízení vyloučen z</w:t>
      </w:r>
      <w:r w:rsidR="008C19D9" w:rsidRPr="00373B0F">
        <w:rPr>
          <w:rFonts w:eastAsia="Times New Roman" w:cs="Times New Roman"/>
          <w:szCs w:val="24"/>
        </w:rPr>
        <w:t> </w:t>
      </w:r>
      <w:r w:rsidRPr="00373B0F">
        <w:rPr>
          <w:rFonts w:eastAsia="Times New Roman" w:cs="Times New Roman"/>
          <w:szCs w:val="24"/>
        </w:rPr>
        <w:t>rozhodování.</w:t>
      </w:r>
    </w:p>
    <w:p w14:paraId="3ED83ECB" w14:textId="2F97BB58" w:rsidR="008A3158" w:rsidRPr="00373B0F" w:rsidRDefault="008A3158" w:rsidP="008E1253">
      <w:pPr>
        <w:keepNext/>
        <w:spacing w:line="240" w:lineRule="auto"/>
        <w:jc w:val="center"/>
        <w:outlineLvl w:val="1"/>
        <w:rPr>
          <w:rFonts w:eastAsia="Arial" w:cs="Times New Roman"/>
          <w:b/>
          <w:szCs w:val="24"/>
          <w:lang w:eastAsia="cs-CZ"/>
        </w:rPr>
      </w:pPr>
      <w:r w:rsidRPr="00373B0F">
        <w:rPr>
          <w:rFonts w:eastAsia="Arial" w:cs="Times New Roman"/>
          <w:b/>
          <w:szCs w:val="24"/>
          <w:lang w:eastAsia="cs-CZ"/>
        </w:rPr>
        <w:t>§ 35b</w:t>
      </w:r>
    </w:p>
    <w:p w14:paraId="08EDD82D" w14:textId="77777777" w:rsidR="008A3158" w:rsidRPr="003E6AE3" w:rsidRDefault="008A3158" w:rsidP="008E1253">
      <w:pPr>
        <w:shd w:val="clear" w:color="auto" w:fill="FFFFFF"/>
        <w:spacing w:line="240" w:lineRule="auto"/>
        <w:jc w:val="center"/>
        <w:rPr>
          <w:rFonts w:eastAsia="Aptos" w:cs="Times New Roman"/>
          <w:b/>
          <w:bCs/>
          <w:color w:val="232323"/>
          <w:szCs w:val="24"/>
        </w:rPr>
      </w:pPr>
      <w:r w:rsidRPr="003E6AE3">
        <w:rPr>
          <w:rFonts w:cs="Times New Roman"/>
          <w:b/>
          <w:bCs/>
          <w:color w:val="232323"/>
          <w:szCs w:val="24"/>
        </w:rPr>
        <w:t>Prostředky k ochraně důvěrnosti komunikace obviněného s obhájcem</w:t>
      </w:r>
    </w:p>
    <w:p w14:paraId="3579172D" w14:textId="77777777" w:rsidR="00C36E8B" w:rsidRPr="00C36E8B" w:rsidRDefault="00C36E8B" w:rsidP="00C36E8B">
      <w:pPr>
        <w:shd w:val="clear" w:color="auto" w:fill="FFFFFF"/>
        <w:tabs>
          <w:tab w:val="left" w:pos="426"/>
        </w:tabs>
        <w:spacing w:line="240" w:lineRule="auto"/>
        <w:ind w:firstLine="425"/>
        <w:rPr>
          <w:b/>
          <w:color w:val="232323"/>
        </w:rPr>
      </w:pPr>
      <w:r w:rsidRPr="00C36E8B">
        <w:rPr>
          <w:b/>
        </w:rPr>
        <w:t xml:space="preserve">(1) Osoby uvedené v § 35a odst. 1 větě první a druhé se mohou domáhat toho, aby ze spisu byla vyňata listina nebo jiný záznam zachycující jejich důvěrnou komunikaci chráněnou podle § 35a. V návrhu je třeba označit tuto listinu nebo záznam a uvést, kde se nachází. O takovém návrhu rozhodne v přípravném řízení policejní orgán a v řízení před soudem předseda senátu. Dokud není o takovém návrhu pravomocně rozhodnuto, je třeba označenou listinu nebo záznam uchovávat odděleně od spisu a zabezpečit tak, aby je nikdo nemohl zničit nebo poškodit, ani se s jejich obsahem nemohl seznámit nikdo jiný než orgán rozhodující o takovém návrhu nebo stížnosti proti němu, případně tlumočník. </w:t>
      </w:r>
      <w:r w:rsidRPr="00C36E8B">
        <w:rPr>
          <w:rFonts w:cs="Times New Roman"/>
          <w:b/>
          <w:color w:val="232323"/>
          <w:szCs w:val="24"/>
        </w:rPr>
        <w:t>Ve spise se o tom učiní záznam.</w:t>
      </w:r>
    </w:p>
    <w:p w14:paraId="017AE721" w14:textId="0ACA14DB" w:rsidR="00C36E8B" w:rsidRPr="00C36E8B" w:rsidRDefault="00C36E8B" w:rsidP="00C36E8B">
      <w:pPr>
        <w:shd w:val="clear" w:color="auto" w:fill="FFFFFF"/>
        <w:tabs>
          <w:tab w:val="left" w:pos="426"/>
        </w:tabs>
        <w:spacing w:line="240" w:lineRule="auto"/>
        <w:ind w:firstLine="425"/>
        <w:rPr>
          <w:b/>
          <w:color w:val="232323"/>
        </w:rPr>
      </w:pPr>
      <w:r w:rsidRPr="00C36E8B">
        <w:rPr>
          <w:b/>
        </w:rPr>
        <w:t xml:space="preserve">(2) Pokud bylo návrhu podle odstavce 1 pravomocně vyhověno, policejní orgán a v řízení před soudem předseda senátu ponechá originál listiny uchovaný odděleně od spisu a učiní potřebná opatření, aby byl zabezpečen tak, aby </w:t>
      </w:r>
      <w:r w:rsidRPr="00C36E8B">
        <w:rPr>
          <w:rFonts w:eastAsia="Aptos" w:cs="Times New Roman"/>
          <w:b/>
        </w:rPr>
        <w:t>jej nikdo nemohl zničit nebo poškodit</w:t>
      </w:r>
      <w:r w:rsidRPr="00C36E8B">
        <w:rPr>
          <w:b/>
        </w:rPr>
        <w:t>,</w:t>
      </w:r>
      <w:r w:rsidRPr="00C36E8B">
        <w:rPr>
          <w:rFonts w:eastAsia="Aptos" w:cs="Times New Roman"/>
          <w:b/>
        </w:rPr>
        <w:t xml:space="preserve"> an</w:t>
      </w:r>
      <w:r w:rsidRPr="00C36E8B">
        <w:rPr>
          <w:b/>
        </w:rPr>
        <w:t>i</w:t>
      </w:r>
      <w:r w:rsidRPr="00C36E8B">
        <w:rPr>
          <w:rFonts w:eastAsia="Aptos" w:cs="Times New Roman"/>
          <w:b/>
        </w:rPr>
        <w:t xml:space="preserve"> se s jeho obsahem neoprávněně seznámit</w:t>
      </w:r>
      <w:r w:rsidRPr="00C36E8B">
        <w:rPr>
          <w:b/>
        </w:rPr>
        <w:t xml:space="preserve">. Ve spise se o tom učiní záznam. Pokud listina obsahuje i jiné údaje, které jsou důkazně využitelné, založí se do spisu kopie listiny neobsahující důvěrnou komunikaci chráněnou podle § </w:t>
      </w:r>
      <w:r w:rsidRPr="00AC0337">
        <w:rPr>
          <w:b/>
        </w:rPr>
        <w:t xml:space="preserve">35a. </w:t>
      </w:r>
      <w:r w:rsidR="00AC0337" w:rsidRPr="00AC0337">
        <w:rPr>
          <w:b/>
        </w:rPr>
        <w:t xml:space="preserve">K originálu listiny lze umožnit přístup pouze osobě, jejíž komunikace je chráněna, a dále má k němu přístup soud, případně znalec a tlumočník, je-li třeba prostřednictvím originálu listiny ověřit, že nedošlo k nepřípustnému zásahu do kopie listiny. </w:t>
      </w:r>
      <w:r w:rsidRPr="00AC0337">
        <w:rPr>
          <w:b/>
        </w:rPr>
        <w:t xml:space="preserve">Na žádost osoby, jejíž komunikace je chráněna, se jí umožní pořídit si kopii </w:t>
      </w:r>
      <w:r w:rsidRPr="00AC0337">
        <w:rPr>
          <w:b/>
          <w:color w:val="232323"/>
        </w:rPr>
        <w:t xml:space="preserve">originálu </w:t>
      </w:r>
      <w:r w:rsidRPr="00AC0337">
        <w:rPr>
          <w:b/>
        </w:rPr>
        <w:t>listiny. Není-li originál listiny vrácen nebo vydán</w:t>
      </w:r>
      <w:r w:rsidR="007B319B">
        <w:rPr>
          <w:b/>
        </w:rPr>
        <w:t xml:space="preserve"> podle § 80</w:t>
      </w:r>
      <w:r w:rsidRPr="00AC0337">
        <w:rPr>
          <w:b/>
        </w:rPr>
        <w:t>, zničí se; jeho zničení nelze provést před skartací spisu. Protokol o jeho zničení</w:t>
      </w:r>
      <w:r w:rsidRPr="00C36E8B">
        <w:rPr>
          <w:b/>
        </w:rPr>
        <w:t xml:space="preserve"> se založí do spisu. </w:t>
      </w:r>
    </w:p>
    <w:p w14:paraId="63017EEE" w14:textId="77777777" w:rsidR="00C36E8B" w:rsidRPr="00C36E8B" w:rsidRDefault="00C36E8B" w:rsidP="00C36E8B">
      <w:pPr>
        <w:tabs>
          <w:tab w:val="left" w:pos="426"/>
        </w:tabs>
        <w:spacing w:line="240" w:lineRule="auto"/>
        <w:ind w:firstLine="426"/>
        <w:rPr>
          <w:b/>
        </w:rPr>
      </w:pPr>
      <w:r w:rsidRPr="00C36E8B">
        <w:rPr>
          <w:b/>
        </w:rPr>
        <w:t>(3) Obdobně podle odstavce 2 se postupuje, je-li obsah důvěrné komunikace uchováván v elektronické podobě.</w:t>
      </w:r>
    </w:p>
    <w:p w14:paraId="4B6F552A" w14:textId="77777777" w:rsidR="00C36E8B" w:rsidRPr="00C36E8B" w:rsidRDefault="00C36E8B" w:rsidP="00C36E8B">
      <w:pPr>
        <w:tabs>
          <w:tab w:val="left" w:pos="426"/>
        </w:tabs>
        <w:spacing w:line="240" w:lineRule="auto"/>
        <w:ind w:firstLine="426"/>
        <w:rPr>
          <w:b/>
        </w:rPr>
      </w:pPr>
      <w:r w:rsidRPr="00C36E8B">
        <w:rPr>
          <w:b/>
        </w:rPr>
        <w:t>(4) Pokud policejní orgán nebo státní zástupce a v řízení před soudem předseda senátu zjistí, že ve spise je uložena listina nebo jiný záznam zachycující obsah důvěrné komunikace chráněné podle § 35a, učiní o tom záznam ve spisu a postupuje obdobně podle odstavce 2.</w:t>
      </w:r>
    </w:p>
    <w:p w14:paraId="0923165C" w14:textId="76F2D4AF" w:rsidR="00C36E8B" w:rsidRPr="00C36E8B" w:rsidRDefault="00C36E8B" w:rsidP="00C36E8B">
      <w:pPr>
        <w:tabs>
          <w:tab w:val="left" w:pos="426"/>
        </w:tabs>
        <w:spacing w:line="240" w:lineRule="auto"/>
        <w:ind w:firstLine="426"/>
        <w:rPr>
          <w:b/>
        </w:rPr>
      </w:pPr>
      <w:r w:rsidRPr="00C36E8B">
        <w:rPr>
          <w:b/>
        </w:rPr>
        <w:t>(5) Proti rozhodnutí podle odstavce 1 je přípustná stížnost, která má odkladný účinek.</w:t>
      </w:r>
    </w:p>
    <w:p w14:paraId="51CEAAC3" w14:textId="47BECF0F" w:rsidR="007C5839" w:rsidRPr="003E6AE3" w:rsidRDefault="007C5839"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41</w:t>
      </w:r>
    </w:p>
    <w:p w14:paraId="0079DC07" w14:textId="77777777" w:rsidR="007C5839" w:rsidRPr="00373B0F" w:rsidRDefault="007C5839" w:rsidP="008E1253">
      <w:pPr>
        <w:shd w:val="clear" w:color="auto" w:fill="FFFFFF"/>
        <w:spacing w:line="240" w:lineRule="auto"/>
        <w:jc w:val="center"/>
        <w:rPr>
          <w:rFonts w:cs="Times New Roman"/>
          <w:color w:val="232323"/>
          <w:szCs w:val="24"/>
        </w:rPr>
      </w:pPr>
      <w:bookmarkStart w:id="9" w:name="c_29894"/>
      <w:bookmarkEnd w:id="9"/>
      <w:r w:rsidRPr="00373B0F">
        <w:rPr>
          <w:rFonts w:cs="Times New Roman"/>
          <w:color w:val="232323"/>
          <w:szCs w:val="24"/>
        </w:rPr>
        <w:t>Povinnosti a práva obhájce</w:t>
      </w:r>
    </w:p>
    <w:p w14:paraId="01DDD129" w14:textId="5228478B" w:rsidR="00373B0F" w:rsidRDefault="007C5839" w:rsidP="008E1253">
      <w:pPr>
        <w:tabs>
          <w:tab w:val="left" w:pos="851"/>
        </w:tabs>
        <w:spacing w:line="240" w:lineRule="auto"/>
        <w:ind w:firstLine="425"/>
        <w:rPr>
          <w:rFonts w:eastAsia="Times New Roman" w:cs="Times New Roman"/>
          <w:szCs w:val="24"/>
        </w:rPr>
      </w:pPr>
      <w:r w:rsidRPr="00373B0F">
        <w:rPr>
          <w:rFonts w:eastAsia="Times New Roman" w:cs="Times New Roman"/>
          <w:szCs w:val="24"/>
        </w:rPr>
        <w:t>(1) Obhájce je povinen poskytovat obviněnému potřebnou právní pomoc, účelně využívat k hájení jeho zájmů prostředků a způsobů obhajoby uvedených v zákoně, zejména pečovat o</w:t>
      </w:r>
      <w:r w:rsidR="00373B0F">
        <w:rPr>
          <w:rFonts w:eastAsia="Times New Roman" w:cs="Times New Roman"/>
          <w:szCs w:val="24"/>
        </w:rPr>
        <w:t> </w:t>
      </w:r>
      <w:r w:rsidRPr="00373B0F">
        <w:rPr>
          <w:rFonts w:eastAsia="Times New Roman" w:cs="Times New Roman"/>
          <w:szCs w:val="24"/>
        </w:rPr>
        <w:t>to, aby byly v řízení náležitě a včas objasněny skutečnosti, které obviněného zbavují viny nebo jeho vinu zmírňují, a tím přispívat ke správnému objasnění a rozhodnutí věci.</w:t>
      </w:r>
    </w:p>
    <w:p w14:paraId="724788C6" w14:textId="7E5BE404" w:rsidR="007C5839" w:rsidRPr="00373B0F" w:rsidRDefault="007C5839" w:rsidP="008E1253">
      <w:pPr>
        <w:tabs>
          <w:tab w:val="left" w:pos="851"/>
        </w:tabs>
        <w:spacing w:line="240" w:lineRule="auto"/>
        <w:ind w:firstLine="425"/>
        <w:rPr>
          <w:rFonts w:eastAsia="Times New Roman" w:cs="Times New Roman"/>
          <w:szCs w:val="24"/>
        </w:rPr>
      </w:pPr>
      <w:r w:rsidRPr="003E6AE3">
        <w:rPr>
          <w:rFonts w:eastAsia="Arial" w:cs="Times New Roman"/>
          <w:szCs w:val="24"/>
          <w:lang w:eastAsia="cs-CZ"/>
        </w:rPr>
        <w:t xml:space="preserve">(2) </w:t>
      </w:r>
      <w:r w:rsidRPr="003E6AE3">
        <w:rPr>
          <w:rFonts w:eastAsia="Arial" w:cs="Times New Roman"/>
          <w:strike/>
          <w:szCs w:val="24"/>
          <w:lang w:eastAsia="cs-CZ"/>
        </w:rPr>
        <w:t>Obhájce je oprávněn již za přípravného řízení činit za obviněného návrhy, podávat za</w:t>
      </w:r>
      <w:r w:rsidR="00373B0F">
        <w:rPr>
          <w:rFonts w:eastAsia="Arial" w:cs="Times New Roman"/>
          <w:strike/>
          <w:szCs w:val="24"/>
          <w:lang w:eastAsia="cs-CZ"/>
        </w:rPr>
        <w:t> </w:t>
      </w:r>
      <w:r w:rsidRPr="003E6AE3">
        <w:rPr>
          <w:rFonts w:eastAsia="Arial" w:cs="Times New Roman"/>
          <w:strike/>
          <w:szCs w:val="24"/>
          <w:lang w:eastAsia="cs-CZ"/>
        </w:rPr>
        <w:t>něho žádosti a opravné prostředky, nahlížet do spisů (</w:t>
      </w:r>
      <w:hyperlink r:id="rId7" w:history="1">
        <w:r w:rsidRPr="003E6AE3">
          <w:rPr>
            <w:rStyle w:val="Hypertextovodkaz"/>
            <w:rFonts w:eastAsia="Arial" w:cs="Times New Roman"/>
            <w:strike/>
            <w:color w:val="auto"/>
            <w:szCs w:val="24"/>
            <w:u w:val="none"/>
            <w:lang w:eastAsia="cs-CZ"/>
          </w:rPr>
          <w:t>§ 65</w:t>
        </w:r>
      </w:hyperlink>
      <w:r w:rsidRPr="003E6AE3">
        <w:rPr>
          <w:rFonts w:eastAsia="Arial" w:cs="Times New Roman"/>
          <w:strike/>
          <w:szCs w:val="24"/>
          <w:lang w:eastAsia="cs-CZ"/>
        </w:rPr>
        <w:t>) a zúčastnit se podle ustanovení tohoto zákona vyšetřovacích úkonů</w:t>
      </w:r>
      <w:r w:rsidRPr="00452660">
        <w:rPr>
          <w:rFonts w:eastAsia="Arial" w:cs="Times New Roman"/>
          <w:strike/>
          <w:szCs w:val="24"/>
          <w:lang w:eastAsia="cs-CZ"/>
        </w:rPr>
        <w:t>.</w:t>
      </w:r>
      <w:r w:rsidRPr="003E6AE3">
        <w:rPr>
          <w:rFonts w:eastAsia="Arial" w:cs="Times New Roman"/>
          <w:szCs w:val="24"/>
          <w:lang w:eastAsia="cs-CZ"/>
        </w:rPr>
        <w:t xml:space="preserve"> </w:t>
      </w:r>
      <w:r w:rsidR="00BB3E6C" w:rsidRPr="003E6AE3">
        <w:rPr>
          <w:rFonts w:cs="Times New Roman"/>
          <w:b/>
          <w:bCs/>
          <w:color w:val="011E39"/>
          <w:szCs w:val="24"/>
          <w:shd w:val="clear" w:color="auto" w:fill="FFFFFF"/>
        </w:rPr>
        <w:t>Není-li dále stanoveno jinak, může o</w:t>
      </w:r>
      <w:r w:rsidR="00BB3E6C" w:rsidRPr="003E6AE3">
        <w:rPr>
          <w:rFonts w:cs="Times New Roman"/>
          <w:b/>
          <w:bCs/>
          <w:color w:val="232323"/>
          <w:szCs w:val="24"/>
        </w:rPr>
        <w:t>bhájce</w:t>
      </w:r>
      <w:r w:rsidR="00373B0F">
        <w:rPr>
          <w:rFonts w:cs="Times New Roman"/>
          <w:b/>
          <w:bCs/>
          <w:color w:val="232323"/>
          <w:szCs w:val="24"/>
        </w:rPr>
        <w:t xml:space="preserve"> </w:t>
      </w:r>
      <w:r w:rsidR="00BB3E6C" w:rsidRPr="003E6AE3">
        <w:rPr>
          <w:rFonts w:cs="Times New Roman"/>
          <w:b/>
          <w:bCs/>
          <w:color w:val="232323"/>
          <w:szCs w:val="24"/>
        </w:rPr>
        <w:t>za</w:t>
      </w:r>
      <w:r w:rsidR="00373B0F">
        <w:rPr>
          <w:rFonts w:cs="Times New Roman"/>
          <w:b/>
          <w:bCs/>
          <w:color w:val="232323"/>
          <w:szCs w:val="24"/>
        </w:rPr>
        <w:t> </w:t>
      </w:r>
      <w:r w:rsidR="00BB3E6C" w:rsidRPr="003E6AE3">
        <w:rPr>
          <w:rFonts w:cs="Times New Roman"/>
          <w:b/>
          <w:bCs/>
          <w:color w:val="232323"/>
          <w:szCs w:val="24"/>
        </w:rPr>
        <w:t>obviněného</w:t>
      </w:r>
      <w:r w:rsidR="00373B0F">
        <w:rPr>
          <w:rFonts w:cs="Times New Roman"/>
          <w:b/>
          <w:bCs/>
          <w:color w:val="232323"/>
          <w:szCs w:val="24"/>
        </w:rPr>
        <w:t xml:space="preserve"> </w:t>
      </w:r>
      <w:r w:rsidR="00BB3E6C" w:rsidRPr="003E6AE3">
        <w:rPr>
          <w:rFonts w:cs="Times New Roman"/>
          <w:b/>
          <w:bCs/>
          <w:color w:val="232323"/>
          <w:szCs w:val="24"/>
        </w:rPr>
        <w:t xml:space="preserve">vykonávat úkony, k nimž je obviněný oprávněn; nemůže </w:t>
      </w:r>
      <w:r w:rsidR="008E6D22" w:rsidRPr="003E6AE3">
        <w:rPr>
          <w:rFonts w:cs="Times New Roman"/>
          <w:b/>
          <w:bCs/>
          <w:color w:val="232323"/>
          <w:szCs w:val="24"/>
        </w:rPr>
        <w:t>však</w:t>
      </w:r>
      <w:r w:rsidR="00BB3E6C" w:rsidRPr="003E6AE3">
        <w:rPr>
          <w:rFonts w:cs="Times New Roman"/>
          <w:b/>
          <w:bCs/>
          <w:color w:val="232323"/>
          <w:szCs w:val="24"/>
        </w:rPr>
        <w:t xml:space="preserve"> za </w:t>
      </w:r>
      <w:r w:rsidR="00875B18" w:rsidRPr="003E6AE3">
        <w:rPr>
          <w:rFonts w:cs="Times New Roman"/>
          <w:b/>
          <w:bCs/>
          <w:color w:val="232323"/>
          <w:szCs w:val="24"/>
        </w:rPr>
        <w:t xml:space="preserve">něj </w:t>
      </w:r>
      <w:r w:rsidR="00BB3E6C" w:rsidRPr="003E6AE3">
        <w:rPr>
          <w:rFonts w:cs="Times New Roman"/>
          <w:b/>
          <w:bCs/>
          <w:color w:val="232323"/>
          <w:szCs w:val="24"/>
        </w:rPr>
        <w:t xml:space="preserve">vypovídat, sjednávat dohodu o vině a trestu, doznat se, prohlásit vinu, pronést </w:t>
      </w:r>
      <w:r w:rsidR="00D46163" w:rsidRPr="003E6AE3">
        <w:rPr>
          <w:rFonts w:cs="Times New Roman"/>
          <w:b/>
          <w:bCs/>
          <w:color w:val="232323"/>
          <w:szCs w:val="24"/>
        </w:rPr>
        <w:t>poslední slovo</w:t>
      </w:r>
      <w:r w:rsidR="00BB3E6C" w:rsidRPr="003E6AE3">
        <w:rPr>
          <w:rFonts w:cs="Times New Roman"/>
          <w:b/>
          <w:bCs/>
          <w:color w:val="232323"/>
          <w:szCs w:val="24"/>
        </w:rPr>
        <w:t xml:space="preserve"> a činit další obdobné úkony, </w:t>
      </w:r>
      <w:r w:rsidR="00DF5613" w:rsidRPr="003E6AE3">
        <w:rPr>
          <w:rFonts w:cs="Times New Roman"/>
          <w:b/>
          <w:bCs/>
          <w:color w:val="232323"/>
          <w:szCs w:val="24"/>
        </w:rPr>
        <w:t>při</w:t>
      </w:r>
      <w:r w:rsidR="00BB3E6C" w:rsidRPr="003E6AE3">
        <w:rPr>
          <w:rFonts w:cs="Times New Roman"/>
          <w:b/>
          <w:bCs/>
          <w:color w:val="232323"/>
          <w:szCs w:val="24"/>
        </w:rPr>
        <w:t> nichž je osobní účast obviněného nezastupitelná.</w:t>
      </w:r>
      <w:r w:rsidR="00BB3E6C" w:rsidRPr="003E6AE3">
        <w:rPr>
          <w:rFonts w:cs="Times New Roman"/>
          <w:color w:val="232323"/>
          <w:szCs w:val="24"/>
        </w:rPr>
        <w:t xml:space="preserve"> </w:t>
      </w:r>
      <w:r w:rsidRPr="003E6AE3">
        <w:rPr>
          <w:rFonts w:eastAsia="Arial" w:cs="Times New Roman"/>
          <w:szCs w:val="24"/>
          <w:lang w:eastAsia="cs-CZ"/>
        </w:rPr>
        <w:t>S</w:t>
      </w:r>
      <w:r w:rsidR="00373B0F">
        <w:rPr>
          <w:rFonts w:eastAsia="Arial" w:cs="Times New Roman"/>
          <w:szCs w:val="24"/>
          <w:lang w:eastAsia="cs-CZ"/>
        </w:rPr>
        <w:t> </w:t>
      </w:r>
      <w:r w:rsidRPr="003E6AE3">
        <w:rPr>
          <w:rFonts w:eastAsia="Arial" w:cs="Times New Roman"/>
          <w:szCs w:val="24"/>
          <w:lang w:eastAsia="cs-CZ"/>
        </w:rPr>
        <w:t>obviněným, který je ve vazbě, je oprávněn mluvit v rozsahu stanoveném v </w:t>
      </w:r>
      <w:hyperlink r:id="rId8" w:history="1">
        <w:r w:rsidRPr="003E6AE3">
          <w:rPr>
            <w:rStyle w:val="Hypertextovodkaz"/>
            <w:rFonts w:eastAsia="Arial" w:cs="Times New Roman"/>
            <w:color w:val="auto"/>
            <w:szCs w:val="24"/>
            <w:u w:val="none"/>
            <w:lang w:eastAsia="cs-CZ"/>
          </w:rPr>
          <w:t>§ 33 odst. 1</w:t>
        </w:r>
      </w:hyperlink>
      <w:r w:rsidRPr="003E6AE3">
        <w:rPr>
          <w:rFonts w:eastAsia="Arial" w:cs="Times New Roman"/>
          <w:szCs w:val="24"/>
          <w:lang w:eastAsia="cs-CZ"/>
        </w:rPr>
        <w:t>.</w:t>
      </w:r>
    </w:p>
    <w:p w14:paraId="3D571256" w14:textId="77777777" w:rsidR="007C5839" w:rsidRPr="00373B0F" w:rsidRDefault="007C5839" w:rsidP="008E1253">
      <w:pPr>
        <w:tabs>
          <w:tab w:val="left" w:pos="851"/>
        </w:tabs>
        <w:spacing w:line="240" w:lineRule="auto"/>
        <w:ind w:firstLine="425"/>
        <w:rPr>
          <w:rFonts w:eastAsia="Times New Roman" w:cs="Times New Roman"/>
          <w:szCs w:val="24"/>
        </w:rPr>
      </w:pPr>
      <w:r w:rsidRPr="00373B0F">
        <w:rPr>
          <w:rFonts w:eastAsia="Times New Roman" w:cs="Times New Roman"/>
          <w:szCs w:val="24"/>
        </w:rPr>
        <w:t>(3) Obhájce je v řízení před soudem oprávněn zúčastnit se všech úkonů, kterých se může zúčastnit obviněný.</w:t>
      </w:r>
    </w:p>
    <w:p w14:paraId="50673134" w14:textId="77777777" w:rsidR="007C5839" w:rsidRPr="00373B0F" w:rsidRDefault="007C5839" w:rsidP="008E1253">
      <w:pPr>
        <w:tabs>
          <w:tab w:val="left" w:pos="851"/>
        </w:tabs>
        <w:spacing w:line="240" w:lineRule="auto"/>
        <w:ind w:firstLine="425"/>
        <w:rPr>
          <w:rFonts w:eastAsia="Times New Roman" w:cs="Times New Roman"/>
          <w:szCs w:val="24"/>
        </w:rPr>
      </w:pPr>
      <w:r w:rsidRPr="00373B0F">
        <w:rPr>
          <w:rFonts w:eastAsia="Times New Roman" w:cs="Times New Roman"/>
          <w:szCs w:val="24"/>
        </w:rPr>
        <w:t>(4) Je-li svéprávnost obviněného omezena, může obhájce oprávnění uvedená v odstavcích 2 a 3 vykonávat též proti vůli obviněného.</w:t>
      </w:r>
    </w:p>
    <w:p w14:paraId="21D76811" w14:textId="77777777" w:rsidR="007C5839" w:rsidRPr="00373B0F" w:rsidRDefault="007C5839" w:rsidP="008E1253">
      <w:pPr>
        <w:tabs>
          <w:tab w:val="left" w:pos="851"/>
        </w:tabs>
        <w:spacing w:line="240" w:lineRule="auto"/>
        <w:ind w:firstLine="425"/>
        <w:rPr>
          <w:rFonts w:eastAsia="Times New Roman" w:cs="Times New Roman"/>
          <w:szCs w:val="24"/>
        </w:rPr>
      </w:pPr>
      <w:r w:rsidRPr="00373B0F">
        <w:rPr>
          <w:rFonts w:eastAsia="Times New Roman" w:cs="Times New Roman"/>
          <w:szCs w:val="24"/>
        </w:rPr>
        <w:t>(5) Nebylo-li zmocnění obhájce při jeho zvolení nebo ustanovení vymezeno jinak, zaniká při skončení trestního stíhání. I když zmocnění takto zaniklo, je obhájce oprávněn podat za obžalovaného ještě dovolání a zúčastnit se řízení o dovolání u Nejvyššího soudu, dále podat žádost o milost a o odklad výkonu trestu.</w:t>
      </w:r>
    </w:p>
    <w:p w14:paraId="2BEE7832" w14:textId="13236C4D" w:rsidR="00373B0F" w:rsidRPr="00373B0F" w:rsidRDefault="007C5839" w:rsidP="002045D2">
      <w:pPr>
        <w:tabs>
          <w:tab w:val="left" w:pos="851"/>
        </w:tabs>
        <w:spacing w:line="240" w:lineRule="auto"/>
        <w:ind w:firstLine="425"/>
        <w:rPr>
          <w:rFonts w:eastAsia="Times New Roman" w:cs="Times New Roman"/>
          <w:szCs w:val="24"/>
        </w:rPr>
      </w:pPr>
      <w:r w:rsidRPr="00373B0F">
        <w:rPr>
          <w:rFonts w:eastAsia="Times New Roman" w:cs="Times New Roman"/>
          <w:szCs w:val="24"/>
        </w:rPr>
        <w:t>(6) Obhájce má právo ve všech stadiích trestního řízení vyžádat si předem kopii nebo průpis protokolu (</w:t>
      </w:r>
      <w:hyperlink r:id="rId9" w:history="1">
        <w:r w:rsidRPr="00373B0F">
          <w:rPr>
            <w:rFonts w:eastAsia="Times New Roman"/>
          </w:rPr>
          <w:t>§ 55</w:t>
        </w:r>
      </w:hyperlink>
      <w:r w:rsidRPr="00373B0F">
        <w:rPr>
          <w:rFonts w:eastAsia="Times New Roman" w:cs="Times New Roman"/>
          <w:szCs w:val="24"/>
        </w:rPr>
        <w:t>) o každém úkonu trestního řízení. Orgány činné v trestním řízení (</w:t>
      </w:r>
      <w:hyperlink r:id="rId10" w:history="1">
        <w:r w:rsidRPr="00373B0F">
          <w:rPr>
            <w:rFonts w:eastAsia="Times New Roman"/>
          </w:rPr>
          <w:t>§ 12 odst. 1</w:t>
        </w:r>
      </w:hyperlink>
      <w:r w:rsidRPr="00373B0F">
        <w:rPr>
          <w:rFonts w:eastAsia="Times New Roman" w:cs="Times New Roman"/>
          <w:szCs w:val="24"/>
        </w:rPr>
        <w:t>) jsou povinny mu vyhovět; odmítnout mohou jen tehdy, když to není z technických důvodů možné. Náklady s tím spojené je povinen vůči státu uhradit.</w:t>
      </w:r>
    </w:p>
    <w:p w14:paraId="543153B8" w14:textId="77777777" w:rsidR="0031430A" w:rsidRDefault="0031430A" w:rsidP="0031430A">
      <w:pPr>
        <w:rPr>
          <w:lang w:eastAsia="cs-CZ"/>
        </w:rPr>
      </w:pPr>
    </w:p>
    <w:p w14:paraId="484719B2" w14:textId="0F0F2CAB" w:rsidR="00643CE7" w:rsidRPr="003E6AE3" w:rsidRDefault="00643CE7" w:rsidP="008E1253">
      <w:pPr>
        <w:keepNext/>
        <w:spacing w:line="240" w:lineRule="auto"/>
        <w:jc w:val="center"/>
        <w:outlineLvl w:val="1"/>
        <w:rPr>
          <w:rFonts w:eastAsia="Arial" w:cs="Times New Roman"/>
          <w:bCs/>
          <w:szCs w:val="24"/>
          <w:lang w:eastAsia="cs-CZ"/>
        </w:rPr>
      </w:pPr>
      <w:r w:rsidRPr="003E6AE3">
        <w:rPr>
          <w:rFonts w:eastAsia="Arial" w:cs="Times New Roman"/>
          <w:szCs w:val="24"/>
          <w:lang w:eastAsia="cs-CZ"/>
        </w:rPr>
        <w:t>§ 55</w:t>
      </w:r>
    </w:p>
    <w:p w14:paraId="6AB19608" w14:textId="77777777" w:rsidR="00643CE7" w:rsidRPr="003E6AE3" w:rsidRDefault="00643CE7" w:rsidP="008E1253">
      <w:pPr>
        <w:spacing w:line="240" w:lineRule="auto"/>
        <w:jc w:val="center"/>
        <w:rPr>
          <w:rFonts w:eastAsia="Arial" w:cs="Times New Roman"/>
          <w:bCs/>
          <w:szCs w:val="24"/>
          <w:lang w:eastAsia="cs-CZ"/>
        </w:rPr>
      </w:pPr>
      <w:r w:rsidRPr="003E6AE3">
        <w:rPr>
          <w:rFonts w:eastAsia="Arial" w:cs="Times New Roman"/>
          <w:szCs w:val="24"/>
          <w:lang w:eastAsia="cs-CZ"/>
        </w:rPr>
        <w:t>Obecná ustanovení o sepisování protokolu</w:t>
      </w:r>
    </w:p>
    <w:p w14:paraId="39D59EFA" w14:textId="77777777" w:rsidR="00643CE7" w:rsidRPr="003E6AE3" w:rsidRDefault="00643CE7" w:rsidP="008E1253">
      <w:pPr>
        <w:spacing w:line="240" w:lineRule="auto"/>
        <w:ind w:firstLine="426"/>
        <w:rPr>
          <w:rFonts w:eastAsia="Arial" w:cs="Times New Roman"/>
          <w:bCs/>
          <w:szCs w:val="24"/>
          <w:lang w:eastAsia="cs-CZ"/>
        </w:rPr>
      </w:pPr>
      <w:r w:rsidRPr="003E6AE3">
        <w:rPr>
          <w:rFonts w:eastAsia="Arial" w:cs="Times New Roman"/>
          <w:szCs w:val="24"/>
          <w:lang w:eastAsia="cs-CZ"/>
        </w:rPr>
        <w:t>(1) Nestanoví-li zákon jinak, o každém úkonu trestního řízení se sepíše, a to zpravidla při úkonu nebo bezprostředně po něm, protokol, který musí obsahovat</w:t>
      </w:r>
    </w:p>
    <w:p w14:paraId="5340B024" w14:textId="77777777" w:rsidR="00643CE7" w:rsidRPr="003E6AE3" w:rsidRDefault="00643CE7" w:rsidP="008E1253">
      <w:pPr>
        <w:spacing w:line="240" w:lineRule="auto"/>
        <w:ind w:left="284" w:hanging="284"/>
        <w:rPr>
          <w:rFonts w:eastAsia="Arial" w:cs="Times New Roman"/>
          <w:bCs/>
          <w:szCs w:val="24"/>
          <w:lang w:eastAsia="cs-CZ"/>
        </w:rPr>
      </w:pPr>
      <w:r w:rsidRPr="003E6AE3">
        <w:rPr>
          <w:rFonts w:eastAsia="Arial" w:cs="Times New Roman"/>
          <w:szCs w:val="24"/>
          <w:lang w:eastAsia="cs-CZ"/>
        </w:rPr>
        <w:t>a) pojmenování soudu, státního zástupce nebo jiného orgánu provádějícího úkon,</w:t>
      </w:r>
    </w:p>
    <w:p w14:paraId="73B22E51" w14:textId="77777777" w:rsidR="00643CE7" w:rsidRPr="003E6AE3" w:rsidRDefault="00643CE7" w:rsidP="008E1253">
      <w:pPr>
        <w:spacing w:line="240" w:lineRule="auto"/>
        <w:ind w:left="284" w:hanging="284"/>
        <w:rPr>
          <w:rFonts w:eastAsia="Arial" w:cs="Times New Roman"/>
          <w:bCs/>
          <w:szCs w:val="24"/>
          <w:lang w:eastAsia="cs-CZ"/>
        </w:rPr>
      </w:pPr>
      <w:r w:rsidRPr="003E6AE3">
        <w:rPr>
          <w:rFonts w:eastAsia="Arial" w:cs="Times New Roman"/>
          <w:szCs w:val="24"/>
          <w:lang w:eastAsia="cs-CZ"/>
        </w:rPr>
        <w:t>b) místo, čas a předmět úkonu,</w:t>
      </w:r>
    </w:p>
    <w:p w14:paraId="15A7C015" w14:textId="0A9490B4" w:rsidR="00643CE7" w:rsidRPr="003E6AE3" w:rsidRDefault="00643CE7" w:rsidP="008E1253">
      <w:pPr>
        <w:spacing w:line="240" w:lineRule="auto"/>
        <w:ind w:left="284" w:hanging="284"/>
        <w:rPr>
          <w:rFonts w:eastAsia="Arial" w:cs="Times New Roman"/>
          <w:bCs/>
          <w:szCs w:val="24"/>
          <w:lang w:eastAsia="cs-CZ"/>
        </w:rPr>
      </w:pPr>
      <w:r w:rsidRPr="003E6AE3">
        <w:rPr>
          <w:rFonts w:eastAsia="Arial" w:cs="Times New Roman"/>
          <w:szCs w:val="24"/>
          <w:lang w:eastAsia="cs-CZ"/>
        </w:rPr>
        <w:t>c) jméno a příjmení úředních osob a jejich funkce, jméno a příjmení přítomných stran, jméno, příjmení a adresu zákonných zástupců, opatrovníků, obhájců a zmocněnců, popřípadě jméno a příjmení dalších osob, kteří se úkonu zúčastnili, a u obviněného a poškozeného též adresu, kterou uvede pro účely doručování, a další údaje nutné k</w:t>
      </w:r>
      <w:r w:rsidR="008C19D9" w:rsidRPr="003E6AE3">
        <w:rPr>
          <w:rFonts w:eastAsia="Arial" w:cs="Times New Roman"/>
          <w:szCs w:val="24"/>
          <w:lang w:eastAsia="cs-CZ"/>
        </w:rPr>
        <w:t> </w:t>
      </w:r>
      <w:r w:rsidRPr="003E6AE3">
        <w:rPr>
          <w:rFonts w:eastAsia="Arial" w:cs="Times New Roman"/>
          <w:szCs w:val="24"/>
          <w:lang w:eastAsia="cs-CZ"/>
        </w:rPr>
        <w:t>zjištění nebo ověření totožnosti, včetně data narození nebo rodného čísla; jsou-li při prováděném úkonu zjištěny údaje o</w:t>
      </w:r>
      <w:r w:rsidR="00373B0F">
        <w:rPr>
          <w:rFonts w:eastAsia="Arial" w:cs="Times New Roman"/>
          <w:szCs w:val="24"/>
          <w:lang w:eastAsia="cs-CZ"/>
        </w:rPr>
        <w:t> </w:t>
      </w:r>
      <w:r w:rsidRPr="003E6AE3">
        <w:rPr>
          <w:rFonts w:eastAsia="Arial" w:cs="Times New Roman"/>
          <w:szCs w:val="24"/>
          <w:lang w:eastAsia="cs-CZ"/>
        </w:rPr>
        <w:t>bydlišti a doručovací adrese, o místě výkonu zaměstnání či povolání nebo podnikání poškozeného, svědka, zákonného zástupce, opatrovníka, zmocněnce nebo důvěrníka, pak se na žádost těchto osob do protokolu neuvádějí, není-li to nezbytné pro dosažení účelu trestního řízení, ale vedou se tak, aby se s</w:t>
      </w:r>
      <w:r w:rsidR="008C19D9" w:rsidRPr="003E6AE3">
        <w:rPr>
          <w:rFonts w:eastAsia="Arial" w:cs="Times New Roman"/>
          <w:szCs w:val="24"/>
          <w:lang w:eastAsia="cs-CZ"/>
        </w:rPr>
        <w:t> </w:t>
      </w:r>
      <w:r w:rsidRPr="003E6AE3">
        <w:rPr>
          <w:rFonts w:eastAsia="Arial" w:cs="Times New Roman"/>
          <w:szCs w:val="24"/>
          <w:lang w:eastAsia="cs-CZ"/>
        </w:rPr>
        <w:t>nimi mohli seznamovat pouze orgány činné v</w:t>
      </w:r>
      <w:r w:rsidR="008C19D9" w:rsidRPr="003E6AE3">
        <w:rPr>
          <w:rFonts w:eastAsia="Arial" w:cs="Times New Roman"/>
          <w:szCs w:val="24"/>
          <w:lang w:eastAsia="cs-CZ"/>
        </w:rPr>
        <w:t> </w:t>
      </w:r>
      <w:r w:rsidRPr="003E6AE3">
        <w:rPr>
          <w:rFonts w:eastAsia="Arial" w:cs="Times New Roman"/>
          <w:szCs w:val="24"/>
          <w:lang w:eastAsia="cs-CZ"/>
        </w:rPr>
        <w:t>trestním řízení a úředníci Probační a mediační služby činní v</w:t>
      </w:r>
      <w:r w:rsidR="008C19D9" w:rsidRPr="003E6AE3">
        <w:rPr>
          <w:rFonts w:eastAsia="Arial" w:cs="Times New Roman"/>
          <w:szCs w:val="24"/>
          <w:lang w:eastAsia="cs-CZ"/>
        </w:rPr>
        <w:t> </w:t>
      </w:r>
      <w:r w:rsidRPr="003E6AE3">
        <w:rPr>
          <w:rFonts w:eastAsia="Arial" w:cs="Times New Roman"/>
          <w:szCs w:val="24"/>
          <w:lang w:eastAsia="cs-CZ"/>
        </w:rPr>
        <w:t>dané věci; to platí také pro údaje o osobních, rodinných a majetkových poměrech poškozeného a svědka; je-li to nezbytné pro řádné uplatnění práva na obhajobu osoby, proti níž se trestní řízení vede, sdělí se této osobě potřebné údaje; o sdělení údaje a jeho důvodech se učiní záznam do protokolu a bez zbytečného odkladu se o tom informuje osoba, o jejíž údaj jde,</w:t>
      </w:r>
    </w:p>
    <w:p w14:paraId="5F809369" w14:textId="75143B39" w:rsidR="00643CE7" w:rsidRPr="003E6AE3" w:rsidRDefault="00643CE7" w:rsidP="008E1253">
      <w:pPr>
        <w:spacing w:line="240" w:lineRule="auto"/>
        <w:ind w:left="284" w:hanging="284"/>
        <w:rPr>
          <w:rFonts w:eastAsia="Arial" w:cs="Times New Roman"/>
          <w:bCs/>
          <w:szCs w:val="24"/>
          <w:lang w:eastAsia="cs-CZ"/>
        </w:rPr>
      </w:pPr>
      <w:r w:rsidRPr="003E6AE3">
        <w:rPr>
          <w:rFonts w:eastAsia="Arial" w:cs="Times New Roman"/>
          <w:szCs w:val="24"/>
          <w:lang w:eastAsia="cs-CZ"/>
        </w:rPr>
        <w:t>d) stručné a výstižné vylíčení průběhu úkonu, z</w:t>
      </w:r>
      <w:r w:rsidR="008C19D9" w:rsidRPr="003E6AE3">
        <w:rPr>
          <w:rFonts w:eastAsia="Arial" w:cs="Times New Roman"/>
          <w:szCs w:val="24"/>
          <w:lang w:eastAsia="cs-CZ"/>
        </w:rPr>
        <w:t> </w:t>
      </w:r>
      <w:r w:rsidRPr="003E6AE3">
        <w:rPr>
          <w:rFonts w:eastAsia="Arial" w:cs="Times New Roman"/>
          <w:szCs w:val="24"/>
          <w:lang w:eastAsia="cs-CZ"/>
        </w:rPr>
        <w:t>něhož by bylo patrné i zachování zákonných ustanovení upravujících provádění úkonu, dále podstatný obsah rozhodnutí při úkonu vyhlášených, a byl-li hned při úkonu doručen opis rozhodnutí, osvědčení o tomto doručení; pokud se provádí doslovná protokolace výpovědi osoby, je třeba to v</w:t>
      </w:r>
      <w:r w:rsidR="008C19D9" w:rsidRPr="003E6AE3">
        <w:rPr>
          <w:rFonts w:eastAsia="Arial" w:cs="Times New Roman"/>
          <w:szCs w:val="24"/>
          <w:lang w:eastAsia="cs-CZ"/>
        </w:rPr>
        <w:t> </w:t>
      </w:r>
      <w:r w:rsidRPr="003E6AE3">
        <w:rPr>
          <w:rFonts w:eastAsia="Arial" w:cs="Times New Roman"/>
          <w:szCs w:val="24"/>
          <w:lang w:eastAsia="cs-CZ"/>
        </w:rPr>
        <w:t>protokole označit tak, aby bylo možné bezpečně určit počátek a konec doslovné protokolace,</w:t>
      </w:r>
    </w:p>
    <w:p w14:paraId="62A3FC4F" w14:textId="77777777" w:rsidR="00643CE7" w:rsidRPr="003E6AE3" w:rsidRDefault="00643CE7" w:rsidP="008E1253">
      <w:pPr>
        <w:spacing w:line="240" w:lineRule="auto"/>
        <w:ind w:left="284" w:hanging="284"/>
        <w:rPr>
          <w:rFonts w:eastAsia="Arial" w:cs="Times New Roman"/>
          <w:bCs/>
          <w:szCs w:val="24"/>
          <w:lang w:eastAsia="cs-CZ"/>
        </w:rPr>
      </w:pPr>
      <w:r w:rsidRPr="003E6AE3">
        <w:rPr>
          <w:rFonts w:eastAsia="Arial" w:cs="Times New Roman"/>
          <w:szCs w:val="24"/>
          <w:lang w:eastAsia="cs-CZ"/>
        </w:rPr>
        <w:t>e) návrhy stran, udělené poučení, popřípadě vyjádření poučených osob,</w:t>
      </w:r>
    </w:p>
    <w:p w14:paraId="48134262" w14:textId="77777777" w:rsidR="00643CE7" w:rsidRPr="003E6AE3" w:rsidRDefault="00643CE7" w:rsidP="008E1253">
      <w:pPr>
        <w:spacing w:line="240" w:lineRule="auto"/>
        <w:ind w:left="284" w:hanging="284"/>
        <w:rPr>
          <w:rFonts w:eastAsia="Arial" w:cs="Times New Roman"/>
          <w:bCs/>
          <w:szCs w:val="24"/>
          <w:lang w:eastAsia="cs-CZ"/>
        </w:rPr>
      </w:pPr>
      <w:r w:rsidRPr="003E6AE3">
        <w:rPr>
          <w:rFonts w:eastAsia="Arial" w:cs="Times New Roman"/>
          <w:szCs w:val="24"/>
          <w:lang w:eastAsia="cs-CZ"/>
        </w:rPr>
        <w:t>f) námitky stran nebo vyslýchaných osob proti průběhu úkonu nebo obsahu protokolu.</w:t>
      </w:r>
    </w:p>
    <w:p w14:paraId="25E681B8" w14:textId="47DF4BE2" w:rsidR="00643CE7" w:rsidRPr="003E6AE3" w:rsidRDefault="00643CE7" w:rsidP="008E1253">
      <w:pPr>
        <w:spacing w:line="240" w:lineRule="auto"/>
        <w:ind w:firstLine="426"/>
        <w:rPr>
          <w:rFonts w:eastAsia="Arial" w:cs="Times New Roman"/>
          <w:bCs/>
          <w:szCs w:val="24"/>
          <w:lang w:eastAsia="cs-CZ"/>
        </w:rPr>
      </w:pPr>
      <w:bookmarkStart w:id="10" w:name="_Hlk171735628"/>
      <w:r w:rsidRPr="003E6AE3">
        <w:rPr>
          <w:rFonts w:eastAsia="Arial" w:cs="Times New Roman"/>
          <w:szCs w:val="24"/>
          <w:lang w:eastAsia="cs-CZ"/>
        </w:rPr>
        <w:t>(2) Nasvědčují-li zjištěné okolnosti tomu, že svědku nebo osobě jemu blízké v</w:t>
      </w:r>
      <w:r w:rsidR="008C19D9" w:rsidRPr="003E6AE3">
        <w:rPr>
          <w:rFonts w:eastAsia="Arial" w:cs="Times New Roman"/>
          <w:szCs w:val="24"/>
          <w:lang w:eastAsia="cs-CZ"/>
        </w:rPr>
        <w:t> </w:t>
      </w:r>
      <w:r w:rsidRPr="003E6AE3">
        <w:rPr>
          <w:rFonts w:eastAsia="Arial" w:cs="Times New Roman"/>
          <w:szCs w:val="24"/>
          <w:lang w:eastAsia="cs-CZ"/>
        </w:rPr>
        <w:t>souvislosti s</w:t>
      </w:r>
      <w:r w:rsidR="008C19D9" w:rsidRPr="003E6AE3">
        <w:rPr>
          <w:rFonts w:eastAsia="Arial" w:cs="Times New Roman"/>
          <w:szCs w:val="24"/>
          <w:lang w:eastAsia="cs-CZ"/>
        </w:rPr>
        <w:t> </w:t>
      </w:r>
      <w:r w:rsidRPr="003E6AE3">
        <w:rPr>
          <w:rFonts w:eastAsia="Arial" w:cs="Times New Roman"/>
          <w:szCs w:val="24"/>
          <w:lang w:eastAsia="cs-CZ"/>
        </w:rPr>
        <w:t>podáním svědectví zřejmě hrozí újma na zdraví nebo jiné vážné nebezpečí porušení jejich základních práv, a nelze-li ochranu svědka spolehlivě zajistit jiným způsobem, orgán činný v</w:t>
      </w:r>
      <w:r w:rsidR="008C19D9" w:rsidRPr="003E6AE3">
        <w:rPr>
          <w:rFonts w:eastAsia="Arial" w:cs="Times New Roman"/>
          <w:szCs w:val="24"/>
          <w:lang w:eastAsia="cs-CZ"/>
        </w:rPr>
        <w:t> </w:t>
      </w:r>
      <w:r w:rsidRPr="003E6AE3">
        <w:rPr>
          <w:rFonts w:eastAsia="Arial" w:cs="Times New Roman"/>
          <w:szCs w:val="24"/>
          <w:lang w:eastAsia="cs-CZ"/>
        </w:rPr>
        <w:t>trestním řízení učiní opatření k</w:t>
      </w:r>
      <w:r w:rsidR="008C19D9" w:rsidRPr="003E6AE3">
        <w:rPr>
          <w:rFonts w:eastAsia="Arial" w:cs="Times New Roman"/>
          <w:szCs w:val="24"/>
          <w:lang w:eastAsia="cs-CZ"/>
        </w:rPr>
        <w:t> </w:t>
      </w:r>
      <w:r w:rsidRPr="003E6AE3">
        <w:rPr>
          <w:rFonts w:eastAsia="Arial" w:cs="Times New Roman"/>
          <w:szCs w:val="24"/>
          <w:lang w:eastAsia="cs-CZ"/>
        </w:rPr>
        <w:t xml:space="preserve">utajení totožnosti i podoby svědka; jméno a příjmení a </w:t>
      </w:r>
      <w:r w:rsidRPr="003E6AE3">
        <w:rPr>
          <w:rFonts w:eastAsia="Arial" w:cs="Times New Roman"/>
          <w:strike/>
          <w:szCs w:val="24"/>
          <w:lang w:eastAsia="cs-CZ"/>
        </w:rPr>
        <w:t>jeho další osobní údaje</w:t>
      </w:r>
      <w:r w:rsidRPr="003E6AE3">
        <w:rPr>
          <w:rFonts w:eastAsia="Arial" w:cs="Times New Roman"/>
          <w:szCs w:val="24"/>
          <w:lang w:eastAsia="cs-CZ"/>
        </w:rPr>
        <w:t xml:space="preserve"> </w:t>
      </w:r>
      <w:r w:rsidRPr="003E6AE3">
        <w:rPr>
          <w:rFonts w:eastAsia="Arial" w:cs="Times New Roman"/>
          <w:b/>
          <w:szCs w:val="24"/>
          <w:lang w:eastAsia="cs-CZ"/>
        </w:rPr>
        <w:t>další údaje umožňující jeho identifikaci</w:t>
      </w:r>
      <w:r w:rsidRPr="003E6AE3">
        <w:rPr>
          <w:rFonts w:eastAsia="Arial" w:cs="Times New Roman"/>
          <w:szCs w:val="24"/>
          <w:lang w:eastAsia="cs-CZ"/>
        </w:rPr>
        <w:t xml:space="preserve"> se do protokolu nezapisují, ale vedou se odděleně od trestního spisu a mohou se s</w:t>
      </w:r>
      <w:r w:rsidR="008C19D9" w:rsidRPr="003E6AE3">
        <w:rPr>
          <w:rFonts w:eastAsia="Arial" w:cs="Times New Roman"/>
          <w:szCs w:val="24"/>
          <w:lang w:eastAsia="cs-CZ"/>
        </w:rPr>
        <w:t> </w:t>
      </w:r>
      <w:r w:rsidRPr="003E6AE3">
        <w:rPr>
          <w:rFonts w:eastAsia="Arial" w:cs="Times New Roman"/>
          <w:szCs w:val="24"/>
          <w:lang w:eastAsia="cs-CZ"/>
        </w:rPr>
        <w:t>nimi seznamovat jen orgány činné v</w:t>
      </w:r>
      <w:r w:rsidR="008C19D9" w:rsidRPr="003E6AE3">
        <w:rPr>
          <w:rFonts w:eastAsia="Arial" w:cs="Times New Roman"/>
          <w:szCs w:val="24"/>
          <w:lang w:eastAsia="cs-CZ"/>
        </w:rPr>
        <w:t> </w:t>
      </w:r>
      <w:r w:rsidRPr="003E6AE3">
        <w:rPr>
          <w:rFonts w:eastAsia="Arial" w:cs="Times New Roman"/>
          <w:szCs w:val="24"/>
          <w:lang w:eastAsia="cs-CZ"/>
        </w:rPr>
        <w:t>trestním řízení v</w:t>
      </w:r>
      <w:r w:rsidR="008C19D9" w:rsidRPr="003E6AE3">
        <w:rPr>
          <w:rFonts w:eastAsia="Arial" w:cs="Times New Roman"/>
          <w:szCs w:val="24"/>
          <w:lang w:eastAsia="cs-CZ"/>
        </w:rPr>
        <w:t> </w:t>
      </w:r>
      <w:r w:rsidRPr="003E6AE3">
        <w:rPr>
          <w:rFonts w:eastAsia="Arial" w:cs="Times New Roman"/>
          <w:szCs w:val="24"/>
          <w:lang w:eastAsia="cs-CZ"/>
        </w:rPr>
        <w:t>dané věci. Svědek se poučí o právu požádat o utajení své podoby a podepsat protokol smyšleným jménem a příjmením, pod kterým je pak veden. Je-li třeba zajistit ochranu těchto osob, orgán činný v</w:t>
      </w:r>
      <w:r w:rsidR="008C19D9" w:rsidRPr="003E6AE3">
        <w:rPr>
          <w:rFonts w:eastAsia="Arial" w:cs="Times New Roman"/>
          <w:szCs w:val="24"/>
          <w:lang w:eastAsia="cs-CZ"/>
        </w:rPr>
        <w:t> </w:t>
      </w:r>
      <w:r w:rsidRPr="003E6AE3">
        <w:rPr>
          <w:rFonts w:eastAsia="Arial" w:cs="Times New Roman"/>
          <w:szCs w:val="24"/>
          <w:lang w:eastAsia="cs-CZ"/>
        </w:rPr>
        <w:t xml:space="preserve">trestním řízení učiní bezodkladně všechna potřebná opatření. Zvláštní způsob ochrany svědků a osob jim blízkých stanoví zvláštní zákon. Pominou-li důvody pro utajení podoby svědka a oddělené vedení </w:t>
      </w:r>
      <w:r w:rsidRPr="003E6AE3">
        <w:rPr>
          <w:rFonts w:eastAsia="Arial" w:cs="Times New Roman"/>
          <w:strike/>
          <w:szCs w:val="24"/>
          <w:lang w:eastAsia="cs-CZ"/>
        </w:rPr>
        <w:t>osobních údajů svědka</w:t>
      </w:r>
      <w:r w:rsidRPr="003E6AE3">
        <w:rPr>
          <w:rFonts w:eastAsia="Arial" w:cs="Times New Roman"/>
          <w:szCs w:val="24"/>
          <w:lang w:eastAsia="cs-CZ"/>
        </w:rPr>
        <w:t xml:space="preserve"> </w:t>
      </w:r>
      <w:r w:rsidRPr="003E6AE3">
        <w:rPr>
          <w:rFonts w:eastAsia="Arial" w:cs="Times New Roman"/>
          <w:b/>
          <w:szCs w:val="24"/>
          <w:lang w:eastAsia="cs-CZ"/>
        </w:rPr>
        <w:t>údajů umožňujících jeho identifikaci</w:t>
      </w:r>
      <w:r w:rsidRPr="003E6AE3">
        <w:rPr>
          <w:rFonts w:eastAsia="Arial" w:cs="Times New Roman"/>
          <w:szCs w:val="24"/>
          <w:lang w:eastAsia="cs-CZ"/>
        </w:rPr>
        <w:t>, orgán, který v</w:t>
      </w:r>
      <w:r w:rsidR="008C19D9" w:rsidRPr="003E6AE3">
        <w:rPr>
          <w:rFonts w:eastAsia="Arial" w:cs="Times New Roman"/>
          <w:szCs w:val="24"/>
          <w:lang w:eastAsia="cs-CZ"/>
        </w:rPr>
        <w:t> </w:t>
      </w:r>
      <w:r w:rsidRPr="003E6AE3">
        <w:rPr>
          <w:rFonts w:eastAsia="Arial" w:cs="Times New Roman"/>
          <w:szCs w:val="24"/>
          <w:lang w:eastAsia="cs-CZ"/>
        </w:rPr>
        <w:t>té době vede trestní řízení, zruší stupeň utajení těchto informací, připojí uvedené údaje k</w:t>
      </w:r>
      <w:r w:rsidR="008C19D9" w:rsidRPr="003E6AE3">
        <w:rPr>
          <w:rFonts w:eastAsia="Arial" w:cs="Times New Roman"/>
          <w:szCs w:val="24"/>
          <w:lang w:eastAsia="cs-CZ"/>
        </w:rPr>
        <w:t> </w:t>
      </w:r>
      <w:r w:rsidRPr="003E6AE3">
        <w:rPr>
          <w:rFonts w:eastAsia="Arial" w:cs="Times New Roman"/>
          <w:szCs w:val="24"/>
          <w:lang w:eastAsia="cs-CZ"/>
        </w:rPr>
        <w:t>trestnímu spisu a podoba svědka ani údaje o jeho totožnosti se nadále neutajují; to neplatí, je-li utajována totožnost a podoba osob uvedených v § 102a. O postupu podle věty páté orgán činný v</w:t>
      </w:r>
      <w:r w:rsidR="008C19D9" w:rsidRPr="003E6AE3">
        <w:rPr>
          <w:rFonts w:eastAsia="Arial" w:cs="Times New Roman"/>
          <w:szCs w:val="24"/>
          <w:lang w:eastAsia="cs-CZ"/>
        </w:rPr>
        <w:t> </w:t>
      </w:r>
      <w:r w:rsidRPr="003E6AE3">
        <w:rPr>
          <w:rFonts w:eastAsia="Arial" w:cs="Times New Roman"/>
          <w:szCs w:val="24"/>
          <w:lang w:eastAsia="cs-CZ"/>
        </w:rPr>
        <w:t>trestním řízení bez zbytečného odkladu svědka informuje.</w:t>
      </w:r>
    </w:p>
    <w:bookmarkEnd w:id="10"/>
    <w:p w14:paraId="170B3AB3" w14:textId="65D2BADD" w:rsidR="00643CE7" w:rsidRPr="003E6AE3" w:rsidRDefault="00643CE7" w:rsidP="008E1253">
      <w:pPr>
        <w:spacing w:line="240" w:lineRule="auto"/>
        <w:ind w:firstLine="426"/>
        <w:rPr>
          <w:rFonts w:eastAsia="Arial" w:cs="Times New Roman"/>
          <w:bCs/>
          <w:szCs w:val="24"/>
          <w:lang w:eastAsia="cs-CZ"/>
        </w:rPr>
      </w:pPr>
      <w:r w:rsidRPr="003E6AE3">
        <w:rPr>
          <w:rFonts w:eastAsia="Arial" w:cs="Times New Roman"/>
          <w:szCs w:val="24"/>
          <w:lang w:eastAsia="cs-CZ"/>
        </w:rPr>
        <w:t>(3) V</w:t>
      </w:r>
      <w:r w:rsidR="008C19D9" w:rsidRPr="003E6AE3">
        <w:rPr>
          <w:rFonts w:eastAsia="Arial" w:cs="Times New Roman"/>
          <w:szCs w:val="24"/>
          <w:lang w:eastAsia="cs-CZ"/>
        </w:rPr>
        <w:t> </w:t>
      </w:r>
      <w:r w:rsidRPr="003E6AE3">
        <w:rPr>
          <w:rFonts w:eastAsia="Arial" w:cs="Times New Roman"/>
          <w:szCs w:val="24"/>
          <w:lang w:eastAsia="cs-CZ"/>
        </w:rPr>
        <w:t>protokolu sepsaném o konfrontaci se zapíší výpovědi konfrontovaných osob doslovně, stejně tak i znění položených otázek a odpovědi na ně; také se uvedou všechny okolnosti, které jsou z</w:t>
      </w:r>
      <w:r w:rsidR="008C19D9" w:rsidRPr="003E6AE3">
        <w:rPr>
          <w:rFonts w:eastAsia="Arial" w:cs="Times New Roman"/>
          <w:szCs w:val="24"/>
          <w:lang w:eastAsia="cs-CZ"/>
        </w:rPr>
        <w:t> </w:t>
      </w:r>
      <w:r w:rsidRPr="003E6AE3">
        <w:rPr>
          <w:rFonts w:eastAsia="Arial" w:cs="Times New Roman"/>
          <w:szCs w:val="24"/>
          <w:lang w:eastAsia="cs-CZ"/>
        </w:rPr>
        <w:t>hlediska účelu a provádění konfrontace důležité. V</w:t>
      </w:r>
      <w:r w:rsidR="008C19D9" w:rsidRPr="003E6AE3">
        <w:rPr>
          <w:rFonts w:eastAsia="Arial" w:cs="Times New Roman"/>
          <w:szCs w:val="24"/>
          <w:lang w:eastAsia="cs-CZ"/>
        </w:rPr>
        <w:t> </w:t>
      </w:r>
      <w:r w:rsidRPr="003E6AE3">
        <w:rPr>
          <w:rFonts w:eastAsia="Arial" w:cs="Times New Roman"/>
          <w:szCs w:val="24"/>
          <w:lang w:eastAsia="cs-CZ"/>
        </w:rPr>
        <w:t>protokolu sepsaném o rekognici se podrobně uvedou okolnosti, za nichž byla rekognice prováděna, zejména pořadí, ve kterém byly osoby nebo věci ukázány podezřelému, obviněnému nebo svědkovi, doba a</w:t>
      </w:r>
      <w:r w:rsidR="00373B0F">
        <w:rPr>
          <w:rFonts w:eastAsia="Arial" w:cs="Times New Roman"/>
          <w:szCs w:val="24"/>
          <w:lang w:eastAsia="cs-CZ"/>
        </w:rPr>
        <w:t> </w:t>
      </w:r>
      <w:r w:rsidRPr="003E6AE3">
        <w:rPr>
          <w:rFonts w:eastAsia="Arial" w:cs="Times New Roman"/>
          <w:szCs w:val="24"/>
          <w:lang w:eastAsia="cs-CZ"/>
        </w:rPr>
        <w:t>podmínky jejich pozorování a jejich vyjádření; o rekognici prováděné v</w:t>
      </w:r>
      <w:r w:rsidR="008C19D9" w:rsidRPr="003E6AE3">
        <w:rPr>
          <w:rFonts w:eastAsia="Arial" w:cs="Times New Roman"/>
          <w:szCs w:val="24"/>
          <w:lang w:eastAsia="cs-CZ"/>
        </w:rPr>
        <w:t> </w:t>
      </w:r>
      <w:r w:rsidRPr="003E6AE3">
        <w:rPr>
          <w:rFonts w:eastAsia="Arial" w:cs="Times New Roman"/>
          <w:szCs w:val="24"/>
          <w:lang w:eastAsia="cs-CZ"/>
        </w:rPr>
        <w:t>přípravném řízení se zpravidla pořídí též obrazové záznamy. V</w:t>
      </w:r>
      <w:r w:rsidR="008C19D9" w:rsidRPr="003E6AE3">
        <w:rPr>
          <w:rFonts w:eastAsia="Arial" w:cs="Times New Roman"/>
          <w:szCs w:val="24"/>
          <w:lang w:eastAsia="cs-CZ"/>
        </w:rPr>
        <w:t> </w:t>
      </w:r>
      <w:r w:rsidRPr="003E6AE3">
        <w:rPr>
          <w:rFonts w:eastAsia="Arial" w:cs="Times New Roman"/>
          <w:szCs w:val="24"/>
          <w:lang w:eastAsia="cs-CZ"/>
        </w:rPr>
        <w:t>protokolu sepsaném o vyšetřovacím pokusu, o</w:t>
      </w:r>
      <w:r w:rsidR="00373B0F">
        <w:rPr>
          <w:rFonts w:eastAsia="Arial" w:cs="Times New Roman"/>
          <w:szCs w:val="24"/>
          <w:lang w:eastAsia="cs-CZ"/>
        </w:rPr>
        <w:t> </w:t>
      </w:r>
      <w:r w:rsidRPr="003E6AE3">
        <w:rPr>
          <w:rFonts w:eastAsia="Arial" w:cs="Times New Roman"/>
          <w:szCs w:val="24"/>
          <w:lang w:eastAsia="cs-CZ"/>
        </w:rPr>
        <w:t>rekonstrukci a o prověrce na místě je třeba podrobně popsat okolnosti, za nichž byly tyto úkony prováděny, jakož i jejich obsah a výsledky; pokud to okolnosti případu nevylučují, pořídí se též obrazové záznamy, náčrtky a jiné vhodné pomůcky, které se, je-li to možné, připojí k</w:t>
      </w:r>
      <w:r w:rsidR="008C19D9" w:rsidRPr="003E6AE3">
        <w:rPr>
          <w:rFonts w:eastAsia="Arial" w:cs="Times New Roman"/>
          <w:szCs w:val="24"/>
          <w:lang w:eastAsia="cs-CZ"/>
        </w:rPr>
        <w:t> </w:t>
      </w:r>
      <w:r w:rsidRPr="003E6AE3">
        <w:rPr>
          <w:rFonts w:eastAsia="Arial" w:cs="Times New Roman"/>
          <w:szCs w:val="24"/>
          <w:lang w:eastAsia="cs-CZ"/>
        </w:rPr>
        <w:t>protokolu. Obdobně je třeba postupovat i v</w:t>
      </w:r>
      <w:r w:rsidR="008C19D9" w:rsidRPr="003E6AE3">
        <w:rPr>
          <w:rFonts w:eastAsia="Arial" w:cs="Times New Roman"/>
          <w:szCs w:val="24"/>
          <w:lang w:eastAsia="cs-CZ"/>
        </w:rPr>
        <w:t> </w:t>
      </w:r>
      <w:r w:rsidRPr="003E6AE3">
        <w:rPr>
          <w:rFonts w:eastAsia="Arial" w:cs="Times New Roman"/>
          <w:szCs w:val="24"/>
          <w:lang w:eastAsia="cs-CZ"/>
        </w:rPr>
        <w:t>případě provádění dalších důkazů výslovně v</w:t>
      </w:r>
      <w:r w:rsidR="008C19D9" w:rsidRPr="003E6AE3">
        <w:rPr>
          <w:rFonts w:eastAsia="Arial" w:cs="Times New Roman"/>
          <w:szCs w:val="24"/>
          <w:lang w:eastAsia="cs-CZ"/>
        </w:rPr>
        <w:t> </w:t>
      </w:r>
      <w:r w:rsidRPr="003E6AE3">
        <w:rPr>
          <w:rFonts w:eastAsia="Arial" w:cs="Times New Roman"/>
          <w:szCs w:val="24"/>
          <w:lang w:eastAsia="cs-CZ"/>
        </w:rPr>
        <w:t>zákoně neupravených.</w:t>
      </w:r>
    </w:p>
    <w:p w14:paraId="24D7AA1D" w14:textId="1DEEEB42" w:rsidR="00643CE7" w:rsidRPr="003E6AE3" w:rsidRDefault="00643CE7" w:rsidP="008E1253">
      <w:pPr>
        <w:spacing w:line="240" w:lineRule="auto"/>
        <w:ind w:firstLine="426"/>
        <w:rPr>
          <w:rFonts w:eastAsia="Arial" w:cs="Times New Roman"/>
          <w:bCs/>
          <w:szCs w:val="24"/>
          <w:lang w:eastAsia="cs-CZ"/>
        </w:rPr>
      </w:pPr>
      <w:r w:rsidRPr="003E6AE3">
        <w:rPr>
          <w:rFonts w:eastAsia="Arial" w:cs="Times New Roman"/>
          <w:szCs w:val="24"/>
          <w:lang w:eastAsia="cs-CZ"/>
        </w:rPr>
        <w:t>(4) V</w:t>
      </w:r>
      <w:r w:rsidR="008C19D9" w:rsidRPr="003E6AE3">
        <w:rPr>
          <w:rFonts w:eastAsia="Arial" w:cs="Times New Roman"/>
          <w:szCs w:val="24"/>
          <w:lang w:eastAsia="cs-CZ"/>
        </w:rPr>
        <w:t> </w:t>
      </w:r>
      <w:r w:rsidRPr="003E6AE3">
        <w:rPr>
          <w:rFonts w:eastAsia="Arial" w:cs="Times New Roman"/>
          <w:szCs w:val="24"/>
          <w:lang w:eastAsia="cs-CZ"/>
        </w:rPr>
        <w:t>českém jazyce se sepíše protokol o výpovědi osoby, i když vyslýchaná osoba vypovídá v</w:t>
      </w:r>
      <w:r w:rsidR="008C19D9" w:rsidRPr="003E6AE3">
        <w:rPr>
          <w:rFonts w:eastAsia="Arial" w:cs="Times New Roman"/>
          <w:szCs w:val="24"/>
          <w:lang w:eastAsia="cs-CZ"/>
        </w:rPr>
        <w:t> </w:t>
      </w:r>
      <w:r w:rsidRPr="003E6AE3">
        <w:rPr>
          <w:rFonts w:eastAsia="Arial" w:cs="Times New Roman"/>
          <w:szCs w:val="24"/>
          <w:lang w:eastAsia="cs-CZ"/>
        </w:rPr>
        <w:t>jiném jazyce; záleží-li na doslovném znění výpovědi, zapíše zapisovatel nebo tlumočník do protokolu příslušnou část výpovědi také v</w:t>
      </w:r>
      <w:r w:rsidR="008C19D9" w:rsidRPr="003E6AE3">
        <w:rPr>
          <w:rFonts w:eastAsia="Arial" w:cs="Times New Roman"/>
          <w:szCs w:val="24"/>
          <w:lang w:eastAsia="cs-CZ"/>
        </w:rPr>
        <w:t> </w:t>
      </w:r>
      <w:r w:rsidRPr="003E6AE3">
        <w:rPr>
          <w:rFonts w:eastAsia="Arial" w:cs="Times New Roman"/>
          <w:szCs w:val="24"/>
          <w:lang w:eastAsia="cs-CZ"/>
        </w:rPr>
        <w:t>jazyku, jímž tato osoba vypovídá.</w:t>
      </w:r>
    </w:p>
    <w:p w14:paraId="00A5E026" w14:textId="77777777" w:rsidR="00643CE7" w:rsidRPr="003E6AE3" w:rsidRDefault="00643CE7" w:rsidP="008E1253">
      <w:pPr>
        <w:spacing w:line="240" w:lineRule="auto"/>
        <w:ind w:firstLine="426"/>
        <w:rPr>
          <w:rFonts w:eastAsia="Arial" w:cs="Times New Roman"/>
          <w:bCs/>
          <w:szCs w:val="24"/>
          <w:lang w:eastAsia="cs-CZ"/>
        </w:rPr>
      </w:pPr>
      <w:r w:rsidRPr="003E6AE3">
        <w:rPr>
          <w:rFonts w:eastAsia="Arial" w:cs="Times New Roman"/>
          <w:szCs w:val="24"/>
          <w:lang w:eastAsia="cs-CZ"/>
        </w:rPr>
        <w:t>(5) Za správnost protokolu odpovídá ten, kdo úkon provedl.</w:t>
      </w:r>
    </w:p>
    <w:p w14:paraId="7694BB76" w14:textId="77777777" w:rsidR="00643CE7" w:rsidRPr="003E6AE3" w:rsidRDefault="00643CE7" w:rsidP="008E1253">
      <w:pPr>
        <w:keepNext/>
        <w:spacing w:line="240" w:lineRule="auto"/>
        <w:jc w:val="center"/>
        <w:outlineLvl w:val="1"/>
        <w:rPr>
          <w:rFonts w:eastAsia="Arial" w:cs="Times New Roman"/>
          <w:bCs/>
          <w:szCs w:val="24"/>
        </w:rPr>
      </w:pPr>
      <w:r w:rsidRPr="003E6AE3">
        <w:rPr>
          <w:rFonts w:eastAsia="Arial" w:cs="Times New Roman"/>
          <w:szCs w:val="24"/>
        </w:rPr>
        <w:t>§ 55a</w:t>
      </w:r>
    </w:p>
    <w:p w14:paraId="42E89DC5" w14:textId="77777777" w:rsidR="00643CE7" w:rsidRPr="003E6AE3" w:rsidRDefault="00643CE7" w:rsidP="008E1253">
      <w:pPr>
        <w:spacing w:line="240" w:lineRule="auto"/>
        <w:jc w:val="center"/>
        <w:rPr>
          <w:rFonts w:eastAsia="Calibri" w:cs="Times New Roman"/>
          <w:bCs/>
          <w:szCs w:val="24"/>
        </w:rPr>
      </w:pPr>
      <w:r w:rsidRPr="003E6AE3">
        <w:rPr>
          <w:rFonts w:eastAsia="Calibri" w:cs="Times New Roman"/>
          <w:szCs w:val="24"/>
        </w:rPr>
        <w:t>Použití zvláštních prostředků při protokolaci</w:t>
      </w:r>
    </w:p>
    <w:p w14:paraId="70F97657" w14:textId="4C780AD9"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(1) K</w:t>
      </w:r>
      <w:r w:rsidR="008C19D9" w:rsidRPr="003E6AE3">
        <w:rPr>
          <w:rFonts w:eastAsia="Calibri" w:cs="Times New Roman"/>
          <w:szCs w:val="24"/>
        </w:rPr>
        <w:t> </w:t>
      </w:r>
      <w:r w:rsidRPr="003E6AE3">
        <w:rPr>
          <w:rFonts w:eastAsia="Calibri" w:cs="Times New Roman"/>
          <w:szCs w:val="24"/>
        </w:rPr>
        <w:t xml:space="preserve">zachycení průběhu úkonu lze podle potřeby využít i </w:t>
      </w:r>
      <w:r w:rsidRPr="003E6AE3">
        <w:rPr>
          <w:rFonts w:eastAsia="Calibri" w:cs="Times New Roman"/>
          <w:strike/>
          <w:szCs w:val="24"/>
        </w:rPr>
        <w:t>těsnopisného zápisu, který se pak spolu s</w:t>
      </w:r>
      <w:r w:rsidR="008C19D9" w:rsidRPr="003E6AE3">
        <w:rPr>
          <w:rFonts w:eastAsia="Calibri" w:cs="Times New Roman"/>
          <w:strike/>
          <w:szCs w:val="24"/>
        </w:rPr>
        <w:t> </w:t>
      </w:r>
      <w:r w:rsidRPr="003E6AE3">
        <w:rPr>
          <w:rFonts w:eastAsia="Calibri" w:cs="Times New Roman"/>
          <w:strike/>
          <w:szCs w:val="24"/>
        </w:rPr>
        <w:t>přepisem do obyčejného písma připojí k</w:t>
      </w:r>
      <w:r w:rsidR="008C19D9" w:rsidRPr="003E6AE3">
        <w:rPr>
          <w:rFonts w:eastAsia="Calibri" w:cs="Times New Roman"/>
          <w:strike/>
          <w:szCs w:val="24"/>
        </w:rPr>
        <w:t> </w:t>
      </w:r>
      <w:r w:rsidRPr="003E6AE3">
        <w:rPr>
          <w:rFonts w:eastAsia="Calibri" w:cs="Times New Roman"/>
          <w:strike/>
          <w:szCs w:val="24"/>
        </w:rPr>
        <w:t>protokolu, případně</w:t>
      </w:r>
      <w:r w:rsidRPr="003E6AE3">
        <w:rPr>
          <w:rFonts w:eastAsia="Calibri" w:cs="Times New Roman"/>
          <w:szCs w:val="24"/>
        </w:rPr>
        <w:t xml:space="preserve"> zvukového nebo obrazového záznamu, anebo i jiného vhodného prostředku. Je-li při provádění úkonu využito videokonferenčního zařízení, pořizuje se zvukový a obrazový záznam vždy.</w:t>
      </w:r>
    </w:p>
    <w:p w14:paraId="2D3DD766" w14:textId="742ED7B2" w:rsidR="00643CE7" w:rsidRDefault="00643CE7" w:rsidP="008E1253">
      <w:pPr>
        <w:spacing w:line="240" w:lineRule="auto"/>
        <w:ind w:firstLine="426"/>
        <w:rPr>
          <w:rFonts w:eastAsia="Calibri" w:cs="Times New Roman"/>
          <w:strike/>
          <w:szCs w:val="24"/>
        </w:rPr>
      </w:pPr>
      <w:r w:rsidRPr="00123ECA">
        <w:rPr>
          <w:rFonts w:eastAsia="Calibri" w:cs="Times New Roman"/>
          <w:strike/>
          <w:szCs w:val="24"/>
        </w:rPr>
        <w:t>(2) Byl-li o úkonu pořízen vedle protokolu i zvukový nebo obrazový záznam, poznamená se tato okolnost v</w:t>
      </w:r>
      <w:r w:rsidR="008C19D9" w:rsidRPr="00123ECA">
        <w:rPr>
          <w:rFonts w:eastAsia="Calibri" w:cs="Times New Roman"/>
          <w:strike/>
          <w:szCs w:val="24"/>
        </w:rPr>
        <w:t> </w:t>
      </w:r>
      <w:r w:rsidRPr="00123ECA">
        <w:rPr>
          <w:rFonts w:eastAsia="Calibri" w:cs="Times New Roman"/>
          <w:strike/>
          <w:szCs w:val="24"/>
        </w:rPr>
        <w:t>protokolu sepsaném o úkonu</w:t>
      </w:r>
      <w:bookmarkStart w:id="11" w:name="_Hlk144807223"/>
      <w:r w:rsidRPr="00123ECA">
        <w:rPr>
          <w:rFonts w:eastAsia="Calibri" w:cs="Times New Roman"/>
          <w:strike/>
          <w:szCs w:val="24"/>
        </w:rPr>
        <w:t>, v</w:t>
      </w:r>
      <w:r w:rsidR="008C19D9" w:rsidRPr="00123ECA">
        <w:rPr>
          <w:rFonts w:eastAsia="Calibri" w:cs="Times New Roman"/>
          <w:strike/>
          <w:szCs w:val="24"/>
        </w:rPr>
        <w:t> </w:t>
      </w:r>
      <w:r w:rsidRPr="00123ECA">
        <w:rPr>
          <w:rFonts w:eastAsia="Calibri" w:cs="Times New Roman"/>
          <w:strike/>
          <w:szCs w:val="24"/>
        </w:rPr>
        <w:t>němž se vedle údajů o čase, místě a způsobu jeho provedení uvede též údaj o použitém prostředku.</w:t>
      </w:r>
      <w:r w:rsidRPr="003E6AE3">
        <w:rPr>
          <w:rFonts w:eastAsia="Calibri" w:cs="Times New Roman"/>
          <w:szCs w:val="24"/>
        </w:rPr>
        <w:t xml:space="preserve"> </w:t>
      </w:r>
      <w:r w:rsidRPr="003E6AE3">
        <w:rPr>
          <w:rFonts w:eastAsia="Calibri" w:cs="Times New Roman"/>
          <w:strike/>
          <w:szCs w:val="24"/>
        </w:rPr>
        <w:t>Technický nosič záznamu se připojí ke spisu nebo se ve spise uvede, kde je uložen</w:t>
      </w:r>
      <w:bookmarkEnd w:id="11"/>
      <w:r w:rsidRPr="003E6AE3">
        <w:rPr>
          <w:rFonts w:eastAsia="Calibri" w:cs="Times New Roman"/>
          <w:strike/>
          <w:szCs w:val="24"/>
        </w:rPr>
        <w:t xml:space="preserve">. </w:t>
      </w:r>
    </w:p>
    <w:p w14:paraId="3970D3BF" w14:textId="6F4B3B5C" w:rsidR="00123ECA" w:rsidRPr="00085815" w:rsidRDefault="00123ECA" w:rsidP="00085815">
      <w:pPr>
        <w:spacing w:line="240" w:lineRule="auto"/>
        <w:ind w:firstLine="426"/>
        <w:rPr>
          <w:rFonts w:eastAsia="Times New Roman" w:cs="Times New Roman"/>
          <w:b/>
          <w:bCs/>
          <w:szCs w:val="24"/>
          <w:lang w:eastAsia="cs-CZ"/>
        </w:rPr>
      </w:pPr>
      <w:r>
        <w:rPr>
          <w:rFonts w:eastAsia="Times New Roman" w:cs="Times New Roman"/>
          <w:b/>
          <w:bCs/>
          <w:szCs w:val="24"/>
          <w:lang w:eastAsia="cs-CZ"/>
        </w:rPr>
        <w:t xml:space="preserve">(2) </w:t>
      </w:r>
      <w:r w:rsidRPr="003E6AE3">
        <w:rPr>
          <w:rFonts w:eastAsia="Times New Roman" w:cs="Times New Roman"/>
          <w:b/>
          <w:bCs/>
          <w:szCs w:val="24"/>
          <w:lang w:eastAsia="cs-CZ"/>
        </w:rPr>
        <w:t>Pokud byl orgánem činným v trestním řízení pořízen zvukový nebo obrazový záznam o průběhu hlavního líčení, veřejného zasedání nebo o jiném úkonu, nosič informací se připojí ke spisu nebo se ve spisu uvede, kde je nosič informací uložen anebo kde je záznam uchováván.</w:t>
      </w:r>
      <w:r>
        <w:rPr>
          <w:rFonts w:eastAsia="Times New Roman" w:cs="Times New Roman"/>
          <w:b/>
          <w:bCs/>
          <w:szCs w:val="24"/>
          <w:lang w:eastAsia="cs-CZ"/>
        </w:rPr>
        <w:t xml:space="preserve"> Pokud </w:t>
      </w:r>
      <w:r w:rsidR="00284D59">
        <w:rPr>
          <w:rFonts w:eastAsia="Times New Roman" w:cs="Times New Roman"/>
          <w:b/>
          <w:bCs/>
          <w:szCs w:val="24"/>
          <w:lang w:eastAsia="cs-CZ"/>
        </w:rPr>
        <w:t xml:space="preserve">byl </w:t>
      </w:r>
      <w:r>
        <w:rPr>
          <w:rFonts w:eastAsia="Times New Roman" w:cs="Times New Roman"/>
          <w:b/>
          <w:bCs/>
          <w:szCs w:val="24"/>
          <w:lang w:eastAsia="cs-CZ"/>
        </w:rPr>
        <w:t xml:space="preserve">zvukový nebo obrazový záznam pořízen vedle protokolu sepsaném o úkonu, poznamená se tato skutečnost v protokolu. </w:t>
      </w:r>
    </w:p>
    <w:bookmarkEnd w:id="5"/>
    <w:p w14:paraId="387D3E32" w14:textId="77777777" w:rsidR="00643CE7" w:rsidRPr="003E6AE3" w:rsidRDefault="00643CE7" w:rsidP="008E1253">
      <w:pPr>
        <w:keepNext/>
        <w:spacing w:line="240" w:lineRule="auto"/>
        <w:jc w:val="center"/>
        <w:outlineLvl w:val="1"/>
        <w:rPr>
          <w:rFonts w:eastAsia="Arial" w:cs="Times New Roman"/>
          <w:bCs/>
          <w:strike/>
          <w:szCs w:val="24"/>
        </w:rPr>
      </w:pPr>
      <w:r w:rsidRPr="003E6AE3">
        <w:rPr>
          <w:rFonts w:eastAsia="Arial" w:cs="Times New Roman"/>
          <w:strike/>
          <w:szCs w:val="24"/>
        </w:rPr>
        <w:t>§ 55b</w:t>
      </w:r>
    </w:p>
    <w:p w14:paraId="37C7CB59" w14:textId="0F5FC6E7" w:rsidR="00643CE7" w:rsidRPr="003E6AE3" w:rsidRDefault="00643CE7" w:rsidP="008E1253">
      <w:pPr>
        <w:spacing w:line="240" w:lineRule="auto"/>
        <w:jc w:val="center"/>
        <w:rPr>
          <w:rFonts w:eastAsia="Calibri" w:cs="Times New Roman"/>
          <w:bCs/>
          <w:strike/>
          <w:szCs w:val="24"/>
        </w:rPr>
      </w:pPr>
      <w:r w:rsidRPr="003E6AE3">
        <w:rPr>
          <w:rFonts w:eastAsia="Calibri" w:cs="Times New Roman"/>
          <w:strike/>
          <w:szCs w:val="24"/>
        </w:rPr>
        <w:t>Některé zvláštnosti protokolace v</w:t>
      </w:r>
      <w:r w:rsidR="008C19D9" w:rsidRPr="003E6AE3">
        <w:rPr>
          <w:rFonts w:eastAsia="Calibri" w:cs="Times New Roman"/>
          <w:strike/>
          <w:szCs w:val="24"/>
        </w:rPr>
        <w:t> </w:t>
      </w:r>
      <w:r w:rsidRPr="003E6AE3">
        <w:rPr>
          <w:rFonts w:eastAsia="Calibri" w:cs="Times New Roman"/>
          <w:strike/>
          <w:szCs w:val="24"/>
        </w:rPr>
        <w:t>řízení před soudem</w:t>
      </w:r>
    </w:p>
    <w:p w14:paraId="06D0DE3E" w14:textId="048D2207" w:rsidR="00643CE7" w:rsidRPr="003E6AE3" w:rsidRDefault="00643CE7" w:rsidP="008E1253">
      <w:pPr>
        <w:spacing w:line="240" w:lineRule="auto"/>
        <w:ind w:firstLine="426"/>
        <w:rPr>
          <w:rFonts w:eastAsia="Calibri" w:cs="Times New Roman"/>
          <w:bCs/>
          <w:strike/>
          <w:szCs w:val="24"/>
        </w:rPr>
      </w:pPr>
      <w:bookmarkStart w:id="12" w:name="_Hlk138246573"/>
      <w:r w:rsidRPr="003E6AE3">
        <w:rPr>
          <w:rFonts w:eastAsia="Calibri" w:cs="Times New Roman"/>
          <w:strike/>
          <w:szCs w:val="24"/>
        </w:rPr>
        <w:t xml:space="preserve">(1) O průběhu </w:t>
      </w:r>
      <w:bookmarkEnd w:id="12"/>
      <w:r w:rsidRPr="003E6AE3">
        <w:rPr>
          <w:rFonts w:eastAsia="Calibri" w:cs="Times New Roman"/>
          <w:strike/>
          <w:szCs w:val="24"/>
        </w:rPr>
        <w:t>hlavního líčení je, nerozhodne-li z</w:t>
      </w:r>
      <w:r w:rsidR="008C19D9" w:rsidRPr="003E6AE3">
        <w:rPr>
          <w:rFonts w:eastAsia="Calibri" w:cs="Times New Roman"/>
          <w:strike/>
          <w:szCs w:val="24"/>
        </w:rPr>
        <w:t> </w:t>
      </w:r>
      <w:r w:rsidRPr="003E6AE3">
        <w:rPr>
          <w:rFonts w:eastAsia="Calibri" w:cs="Times New Roman"/>
          <w:strike/>
          <w:szCs w:val="24"/>
        </w:rPr>
        <w:t>důležitých důvodů předseda senátu jinak, pořizován zvukový záznam; ustanovení § 55a odst. 1 věty druhé tím není dotčeno.</w:t>
      </w:r>
    </w:p>
    <w:p w14:paraId="15EA99E3" w14:textId="77777777" w:rsidR="00643CE7" w:rsidRPr="003E6AE3" w:rsidRDefault="00643CE7" w:rsidP="008E1253">
      <w:pPr>
        <w:spacing w:line="240" w:lineRule="auto"/>
        <w:ind w:firstLine="426"/>
        <w:rPr>
          <w:rFonts w:eastAsia="Calibri" w:cs="Times New Roman"/>
          <w:bCs/>
          <w:strike/>
          <w:szCs w:val="24"/>
        </w:rPr>
      </w:pPr>
      <w:r w:rsidRPr="003E6AE3">
        <w:rPr>
          <w:rFonts w:eastAsia="Calibri" w:cs="Times New Roman"/>
          <w:strike/>
          <w:szCs w:val="24"/>
        </w:rPr>
        <w:t>(2) Je-li jako zapisovatel přibrán vyšší soudní úředník nebo protokolující úředník, protokol se nediktuje, ale samostatně jej podle zvukového záznamu pořizuje vyšší soudní úředník nebo protokolující úředník.</w:t>
      </w:r>
    </w:p>
    <w:p w14:paraId="641E5721" w14:textId="3FD60001" w:rsidR="00643CE7" w:rsidRPr="003E6AE3" w:rsidRDefault="00643CE7" w:rsidP="008E1253">
      <w:pPr>
        <w:tabs>
          <w:tab w:val="left" w:pos="5245"/>
        </w:tabs>
        <w:spacing w:line="240" w:lineRule="auto"/>
        <w:ind w:firstLine="426"/>
        <w:rPr>
          <w:rFonts w:eastAsia="Calibri" w:cs="Times New Roman"/>
          <w:bCs/>
          <w:strike/>
          <w:szCs w:val="24"/>
        </w:rPr>
      </w:pPr>
      <w:r w:rsidRPr="003E6AE3">
        <w:rPr>
          <w:rFonts w:eastAsia="Calibri" w:cs="Times New Roman"/>
          <w:strike/>
          <w:szCs w:val="24"/>
        </w:rPr>
        <w:t>(3) Výpovědi osob, které již byly vyslechnuty, se do protokolu o hlavním líčení nebo ve veřejném zasedání zapisují jen potud, pokud obsahují odchylky nebo dodatky k</w:t>
      </w:r>
      <w:r w:rsidR="008C19D9" w:rsidRPr="003E6AE3">
        <w:rPr>
          <w:rFonts w:eastAsia="Calibri" w:cs="Times New Roman"/>
          <w:strike/>
          <w:szCs w:val="24"/>
        </w:rPr>
        <w:t> </w:t>
      </w:r>
      <w:r w:rsidRPr="003E6AE3">
        <w:rPr>
          <w:rFonts w:eastAsia="Calibri" w:cs="Times New Roman"/>
          <w:strike/>
          <w:szCs w:val="24"/>
        </w:rPr>
        <w:t>dřívějším výpovědím nebo vysvětlením. Státní zástupce nebo obviněný mohou žádat, aby výpověď učiněná v</w:t>
      </w:r>
      <w:r w:rsidR="008C19D9" w:rsidRPr="003E6AE3">
        <w:rPr>
          <w:rFonts w:eastAsia="Calibri" w:cs="Times New Roman"/>
          <w:strike/>
          <w:szCs w:val="24"/>
        </w:rPr>
        <w:t> </w:t>
      </w:r>
      <w:r w:rsidRPr="003E6AE3">
        <w:rPr>
          <w:rFonts w:eastAsia="Calibri" w:cs="Times New Roman"/>
          <w:strike/>
          <w:szCs w:val="24"/>
        </w:rPr>
        <w:t>řízení před soudem nebo její část byla doslovně zaprotokolována; předseda senátu takové žádosti vyhoví, pokud předmětem výpovědi není jen opakování toho, co je již zachyceno v</w:t>
      </w:r>
      <w:r w:rsidR="008C19D9" w:rsidRPr="003E6AE3">
        <w:rPr>
          <w:rFonts w:eastAsia="Calibri" w:cs="Times New Roman"/>
          <w:strike/>
          <w:szCs w:val="24"/>
        </w:rPr>
        <w:t> </w:t>
      </w:r>
      <w:r w:rsidRPr="003E6AE3">
        <w:rPr>
          <w:rFonts w:eastAsia="Calibri" w:cs="Times New Roman"/>
          <w:strike/>
          <w:szCs w:val="24"/>
        </w:rPr>
        <w:t>protokolu.</w:t>
      </w:r>
    </w:p>
    <w:p w14:paraId="7B0179A2" w14:textId="3E661AB0" w:rsidR="00643CE7" w:rsidRPr="003E6AE3" w:rsidRDefault="00643CE7" w:rsidP="008E1253">
      <w:pPr>
        <w:spacing w:line="240" w:lineRule="auto"/>
        <w:ind w:firstLine="426"/>
        <w:rPr>
          <w:rFonts w:eastAsia="Calibri" w:cs="Times New Roman"/>
          <w:bCs/>
          <w:strike/>
          <w:szCs w:val="24"/>
        </w:rPr>
      </w:pPr>
      <w:r w:rsidRPr="003E6AE3">
        <w:rPr>
          <w:rFonts w:eastAsia="Calibri" w:cs="Times New Roman"/>
          <w:strike/>
          <w:szCs w:val="24"/>
        </w:rPr>
        <w:t>(4) Protokol o hlavním líčení nebo veřejném zasedání není třeba písemně vyhotovovat, jestliže obviněný a státní zástupce prohlásí, že se vzdávají opravného prostředku proti rozhodnutí a na písemném vyhotovení protokolu o hlavním líčení nebo veřejném zasedání netrvají, anebo žádná z</w:t>
      </w:r>
      <w:r w:rsidR="008C19D9" w:rsidRPr="003E6AE3">
        <w:rPr>
          <w:rFonts w:eastAsia="Calibri" w:cs="Times New Roman"/>
          <w:strike/>
          <w:szCs w:val="24"/>
        </w:rPr>
        <w:t> </w:t>
      </w:r>
      <w:r w:rsidRPr="003E6AE3">
        <w:rPr>
          <w:rFonts w:eastAsia="Calibri" w:cs="Times New Roman"/>
          <w:strike/>
          <w:szCs w:val="24"/>
        </w:rPr>
        <w:t>oprávněných osob nepodá opravný prostředek a rozhodnutí nabude právní moci. V</w:t>
      </w:r>
      <w:r w:rsidR="008C19D9" w:rsidRPr="003E6AE3">
        <w:rPr>
          <w:rFonts w:eastAsia="Calibri" w:cs="Times New Roman"/>
          <w:strike/>
          <w:szCs w:val="24"/>
        </w:rPr>
        <w:t> </w:t>
      </w:r>
      <w:r w:rsidRPr="003E6AE3">
        <w:rPr>
          <w:rFonts w:eastAsia="Calibri" w:cs="Times New Roman"/>
          <w:strike/>
          <w:szCs w:val="24"/>
        </w:rPr>
        <w:t>takovém případě vyhotoví vyšší soudní úředník nebo protokolující úředník stručný záznam o průběhu hlavního líčení nebo veřejného zasedání, ve kterém uvede místo a dobu trvání hlavního líčení nebo veřejného zasedání, přítomné osoby, výrok rozhodnutí s</w:t>
      </w:r>
      <w:r w:rsidR="008C19D9" w:rsidRPr="003E6AE3">
        <w:rPr>
          <w:rFonts w:eastAsia="Calibri" w:cs="Times New Roman"/>
          <w:strike/>
          <w:szCs w:val="24"/>
        </w:rPr>
        <w:t> </w:t>
      </w:r>
      <w:r w:rsidRPr="003E6AE3">
        <w:rPr>
          <w:rFonts w:eastAsia="Calibri" w:cs="Times New Roman"/>
          <w:strike/>
          <w:szCs w:val="24"/>
        </w:rPr>
        <w:t>uvedením zákonných ustanovení, jichž bylo použito, a vyjádření oprávněných osob o využití opravných prostředků.</w:t>
      </w:r>
    </w:p>
    <w:p w14:paraId="02A4243B" w14:textId="0407D394" w:rsidR="00643CE7" w:rsidRPr="003E6AE3" w:rsidRDefault="00643CE7" w:rsidP="008E1253">
      <w:pPr>
        <w:spacing w:line="240" w:lineRule="auto"/>
        <w:ind w:firstLine="426"/>
        <w:rPr>
          <w:rFonts w:eastAsia="Calibri" w:cs="Times New Roman"/>
          <w:bCs/>
          <w:strike/>
          <w:szCs w:val="24"/>
        </w:rPr>
      </w:pPr>
      <w:r w:rsidRPr="003E6AE3">
        <w:rPr>
          <w:rFonts w:eastAsia="Calibri" w:cs="Times New Roman"/>
          <w:strike/>
          <w:szCs w:val="24"/>
        </w:rPr>
        <w:t>(5) Byl-li zvukový záznam pořízen o průběhu úkonu před soudem a není-li dán důvod k</w:t>
      </w:r>
      <w:r w:rsidR="008C19D9" w:rsidRPr="003E6AE3">
        <w:rPr>
          <w:rFonts w:eastAsia="Calibri" w:cs="Times New Roman"/>
          <w:strike/>
          <w:szCs w:val="24"/>
        </w:rPr>
        <w:t> </w:t>
      </w:r>
      <w:r w:rsidRPr="003E6AE3">
        <w:rPr>
          <w:rFonts w:eastAsia="Calibri" w:cs="Times New Roman"/>
          <w:strike/>
          <w:szCs w:val="24"/>
        </w:rPr>
        <w:t>postupu podle odstavce 4, zaznamená se jeho podstatný obsah již v</w:t>
      </w:r>
      <w:r w:rsidR="008C19D9" w:rsidRPr="003E6AE3">
        <w:rPr>
          <w:rFonts w:eastAsia="Calibri" w:cs="Times New Roman"/>
          <w:strike/>
          <w:szCs w:val="24"/>
        </w:rPr>
        <w:t> </w:t>
      </w:r>
      <w:r w:rsidRPr="003E6AE3">
        <w:rPr>
          <w:rFonts w:eastAsia="Calibri" w:cs="Times New Roman"/>
          <w:strike/>
          <w:szCs w:val="24"/>
        </w:rPr>
        <w:t>průběhu úkonu nebo bezprostředně po jeho ukončení do protokolu.</w:t>
      </w:r>
    </w:p>
    <w:p w14:paraId="6E0E9FF5" w14:textId="01784B2F" w:rsidR="00643CE7" w:rsidRPr="003E6AE3" w:rsidRDefault="00643CE7" w:rsidP="008E1253">
      <w:pPr>
        <w:spacing w:line="240" w:lineRule="auto"/>
        <w:ind w:firstLine="426"/>
        <w:rPr>
          <w:rFonts w:eastAsia="Calibri" w:cs="Times New Roman"/>
          <w:bCs/>
          <w:strike/>
          <w:szCs w:val="24"/>
        </w:rPr>
      </w:pPr>
      <w:r w:rsidRPr="003E6AE3">
        <w:rPr>
          <w:rFonts w:eastAsia="Calibri" w:cs="Times New Roman"/>
          <w:strike/>
          <w:szCs w:val="24"/>
        </w:rPr>
        <w:t>(6) V</w:t>
      </w:r>
      <w:r w:rsidR="008C19D9" w:rsidRPr="003E6AE3">
        <w:rPr>
          <w:rFonts w:eastAsia="Calibri" w:cs="Times New Roman"/>
          <w:strike/>
          <w:szCs w:val="24"/>
        </w:rPr>
        <w:t> </w:t>
      </w:r>
      <w:r w:rsidRPr="003E6AE3">
        <w:rPr>
          <w:rFonts w:eastAsia="Calibri" w:cs="Times New Roman"/>
          <w:strike/>
          <w:szCs w:val="24"/>
        </w:rPr>
        <w:t>řízení před soudem odpovídá za správnost a úplnost protokolace vyšší soudní úředník nebo protokolující úředník, pokud byl přibrán jako zapisovatel.</w:t>
      </w:r>
    </w:p>
    <w:p w14:paraId="421B6082" w14:textId="77777777" w:rsidR="00643CE7" w:rsidRPr="003E6AE3" w:rsidRDefault="00643CE7" w:rsidP="008E1253">
      <w:pPr>
        <w:spacing w:line="240" w:lineRule="auto"/>
        <w:ind w:firstLine="426"/>
        <w:rPr>
          <w:rFonts w:eastAsia="Calibri" w:cs="Times New Roman"/>
          <w:bCs/>
          <w:strike/>
          <w:szCs w:val="24"/>
        </w:rPr>
      </w:pPr>
      <w:r w:rsidRPr="003E6AE3">
        <w:rPr>
          <w:rFonts w:eastAsia="Calibri" w:cs="Times New Roman"/>
          <w:strike/>
          <w:szCs w:val="24"/>
        </w:rPr>
        <w:t xml:space="preserve">(7) Zvukový záznam se uchovává na nosiči informací spolu se spisem, a není-li jeho připojení ke spisu možné, poznamená se do protokolu nebo stručného záznamu místo jeho uložení. Výmaz zvukového záznamu nelze provést před skartací spisu. </w:t>
      </w:r>
    </w:p>
    <w:p w14:paraId="2F52385D" w14:textId="0639F385" w:rsidR="00643CE7" w:rsidRPr="003E6AE3" w:rsidRDefault="00643CE7" w:rsidP="008E1253">
      <w:pPr>
        <w:spacing w:line="240" w:lineRule="auto"/>
        <w:ind w:firstLine="426"/>
        <w:rPr>
          <w:rFonts w:eastAsia="Calibri" w:cs="Times New Roman"/>
          <w:strike/>
          <w:szCs w:val="24"/>
        </w:rPr>
      </w:pPr>
      <w:r w:rsidRPr="003E6AE3">
        <w:rPr>
          <w:rFonts w:eastAsia="Calibri" w:cs="Times New Roman"/>
          <w:strike/>
          <w:szCs w:val="24"/>
        </w:rPr>
        <w:t>(8) Provádí-li se úkon mimo budovu soudu a zvukový záznam nelze pořídit, přibere se k</w:t>
      </w:r>
      <w:r w:rsidR="008C19D9" w:rsidRPr="003E6AE3">
        <w:rPr>
          <w:rFonts w:eastAsia="Calibri" w:cs="Times New Roman"/>
          <w:strike/>
          <w:szCs w:val="24"/>
        </w:rPr>
        <w:t> </w:t>
      </w:r>
      <w:r w:rsidRPr="003E6AE3">
        <w:rPr>
          <w:rFonts w:eastAsia="Calibri" w:cs="Times New Roman"/>
          <w:strike/>
          <w:szCs w:val="24"/>
        </w:rPr>
        <w:t>úkonu zapisovatel a předseda senátu mu protokol diktuje.</w:t>
      </w:r>
    </w:p>
    <w:p w14:paraId="0AD45A8C" w14:textId="28B29769" w:rsidR="00A41CB0" w:rsidRPr="00A41CB0" w:rsidRDefault="00A41CB0" w:rsidP="008E1253">
      <w:pPr>
        <w:keepNext/>
        <w:spacing w:line="240" w:lineRule="auto"/>
        <w:jc w:val="center"/>
        <w:outlineLvl w:val="1"/>
        <w:rPr>
          <w:rFonts w:eastAsia="Arial" w:cs="Times New Roman"/>
          <w:b/>
          <w:bCs/>
          <w:szCs w:val="24"/>
        </w:rPr>
      </w:pPr>
      <w:bookmarkStart w:id="13" w:name="_Hlk169779643"/>
      <w:r w:rsidRPr="00A41CB0">
        <w:rPr>
          <w:rFonts w:eastAsia="Arial" w:cs="Times New Roman"/>
          <w:b/>
          <w:bCs/>
          <w:szCs w:val="24"/>
        </w:rPr>
        <w:t>§ 55b</w:t>
      </w:r>
    </w:p>
    <w:p w14:paraId="0FA25D0B" w14:textId="77777777" w:rsidR="00A41CB0" w:rsidRPr="00A41CB0" w:rsidRDefault="00A41CB0" w:rsidP="008E1253">
      <w:pPr>
        <w:spacing w:line="240" w:lineRule="auto"/>
        <w:jc w:val="center"/>
        <w:rPr>
          <w:rFonts w:eastAsia="Times New Roman" w:cs="Times New Roman"/>
          <w:b/>
          <w:bCs/>
          <w:szCs w:val="24"/>
          <w:lang w:eastAsia="cs-CZ"/>
        </w:rPr>
      </w:pPr>
      <w:r w:rsidRPr="00A41CB0">
        <w:rPr>
          <w:rFonts w:eastAsia="Times New Roman" w:cs="Times New Roman"/>
          <w:b/>
          <w:bCs/>
          <w:szCs w:val="24"/>
          <w:lang w:eastAsia="cs-CZ"/>
        </w:rPr>
        <w:t>Zachycení průběhu některých úkonů v řízení před soudem</w:t>
      </w:r>
    </w:p>
    <w:p w14:paraId="62D81A9A" w14:textId="0A081578" w:rsidR="00A41CB0" w:rsidRPr="00A41CB0" w:rsidRDefault="00633FF6" w:rsidP="008E1253">
      <w:pPr>
        <w:spacing w:line="240" w:lineRule="auto"/>
        <w:ind w:firstLine="426"/>
        <w:rPr>
          <w:rFonts w:eastAsia="Calibri" w:cs="Times New Roman"/>
          <w:b/>
          <w:bCs/>
          <w:szCs w:val="24"/>
        </w:rPr>
      </w:pPr>
      <w:r w:rsidRPr="00633FF6">
        <w:rPr>
          <w:b/>
        </w:rPr>
        <w:t xml:space="preserve">O průběhu hlavního líčení nebo veřejného zasedání je pořizován zvukový záznam, jehož obsah se zachytí v plném znění prostřednictvím technického zařízení do písemné podoby, nebrání-li tomu překážka technické povahy. </w:t>
      </w:r>
      <w:r w:rsidR="00A41CB0" w:rsidRPr="00633FF6">
        <w:rPr>
          <w:rFonts w:eastAsia="Calibri" w:cs="Times New Roman"/>
          <w:b/>
          <w:szCs w:val="24"/>
        </w:rPr>
        <w:t xml:space="preserve">Přepis záznamu neslouží k důkazním účelům, ale je pomůckou usnadňující orientaci </w:t>
      </w:r>
      <w:r w:rsidR="003D513B">
        <w:rPr>
          <w:rFonts w:eastAsia="Calibri" w:cs="Times New Roman"/>
          <w:b/>
          <w:szCs w:val="24"/>
        </w:rPr>
        <w:t xml:space="preserve">v </w:t>
      </w:r>
      <w:r w:rsidR="00A41CB0" w:rsidRPr="00A41CB0">
        <w:rPr>
          <w:rFonts w:eastAsia="Calibri" w:cs="Times New Roman"/>
          <w:b/>
          <w:bCs/>
          <w:szCs w:val="24"/>
        </w:rPr>
        <w:t xml:space="preserve">průběhu </w:t>
      </w:r>
      <w:r w:rsidR="003D513B">
        <w:rPr>
          <w:rFonts w:eastAsia="Calibri" w:cs="Times New Roman"/>
          <w:b/>
          <w:bCs/>
          <w:szCs w:val="24"/>
        </w:rPr>
        <w:t xml:space="preserve">a obsahu </w:t>
      </w:r>
      <w:r w:rsidR="00A41CB0" w:rsidRPr="00A41CB0">
        <w:rPr>
          <w:rFonts w:eastAsia="Calibri" w:cs="Times New Roman"/>
          <w:b/>
          <w:bCs/>
          <w:szCs w:val="24"/>
        </w:rPr>
        <w:t>uvedeného úkonu. Důvodnost námitek směřujících proti průběhu a obsahu uvedeného úkonu se posuzuje podle obsahu zvukového záznamu, který o něm byl pořízen.</w:t>
      </w:r>
    </w:p>
    <w:p w14:paraId="3EB8A888" w14:textId="621C243A" w:rsidR="00A90170" w:rsidRPr="00A41CB0" w:rsidRDefault="00A90170" w:rsidP="008E1253">
      <w:pPr>
        <w:keepNext/>
        <w:spacing w:line="240" w:lineRule="auto"/>
        <w:jc w:val="center"/>
        <w:outlineLvl w:val="1"/>
        <w:rPr>
          <w:rFonts w:eastAsia="Arial" w:cs="Times New Roman"/>
          <w:b/>
          <w:bCs/>
          <w:szCs w:val="24"/>
        </w:rPr>
      </w:pPr>
      <w:r w:rsidRPr="00A41CB0">
        <w:rPr>
          <w:rFonts w:eastAsia="Arial" w:cs="Times New Roman"/>
          <w:b/>
          <w:bCs/>
          <w:szCs w:val="24"/>
        </w:rPr>
        <w:t>§ 55</w:t>
      </w:r>
      <w:r w:rsidR="002045D2">
        <w:rPr>
          <w:rFonts w:eastAsia="Arial" w:cs="Times New Roman"/>
          <w:b/>
          <w:bCs/>
          <w:szCs w:val="24"/>
        </w:rPr>
        <w:t>c</w:t>
      </w:r>
    </w:p>
    <w:p w14:paraId="4D264D5C" w14:textId="77777777" w:rsidR="00A90170" w:rsidRPr="003E6AE3" w:rsidRDefault="00A90170" w:rsidP="008E1253">
      <w:pPr>
        <w:shd w:val="clear" w:color="auto" w:fill="FFFFFF"/>
        <w:spacing w:line="240" w:lineRule="auto"/>
        <w:jc w:val="center"/>
        <w:rPr>
          <w:rFonts w:cs="Times New Roman"/>
          <w:b/>
          <w:bCs/>
          <w:color w:val="232323"/>
          <w:szCs w:val="24"/>
        </w:rPr>
      </w:pPr>
      <w:r w:rsidRPr="003E6AE3">
        <w:rPr>
          <w:rFonts w:cs="Times New Roman"/>
          <w:b/>
          <w:bCs/>
          <w:color w:val="232323"/>
          <w:szCs w:val="24"/>
        </w:rPr>
        <w:t>Některé zvláštnosti protokolace v řízení před soudem</w:t>
      </w:r>
    </w:p>
    <w:p w14:paraId="76D6D3CE" w14:textId="6419A585" w:rsidR="00A41CB0" w:rsidRDefault="00A90170" w:rsidP="008E1253">
      <w:pPr>
        <w:shd w:val="clear" w:color="auto" w:fill="FFFFFF"/>
        <w:spacing w:line="240" w:lineRule="auto"/>
        <w:ind w:firstLine="426"/>
        <w:rPr>
          <w:rFonts w:cs="Times New Roman"/>
          <w:b/>
          <w:bCs/>
          <w:color w:val="232323"/>
          <w:szCs w:val="24"/>
        </w:rPr>
      </w:pPr>
      <w:r w:rsidRPr="003E6AE3">
        <w:rPr>
          <w:rFonts w:cs="Times New Roman"/>
          <w:b/>
          <w:bCs/>
          <w:color w:val="232323"/>
          <w:szCs w:val="24"/>
        </w:rPr>
        <w:t>(1) Nelze-li o průběhu hlavního líčení nebo veřejného zasedání pořídit zvukový záznam</w:t>
      </w:r>
      <w:r w:rsidR="00837380">
        <w:rPr>
          <w:rFonts w:cs="Times New Roman"/>
          <w:b/>
          <w:bCs/>
          <w:color w:val="232323"/>
          <w:szCs w:val="24"/>
        </w:rPr>
        <w:t xml:space="preserve"> podle § 55b</w:t>
      </w:r>
      <w:r w:rsidRPr="003E6AE3">
        <w:rPr>
          <w:rFonts w:cs="Times New Roman"/>
          <w:b/>
          <w:bCs/>
          <w:color w:val="232323"/>
          <w:szCs w:val="24"/>
        </w:rPr>
        <w:t>, předseda senátu diktuje protokol zapisovateli.</w:t>
      </w:r>
    </w:p>
    <w:p w14:paraId="36A7B394" w14:textId="6297DBC4" w:rsidR="00A90170" w:rsidRPr="003E6AE3" w:rsidRDefault="00A90170" w:rsidP="008E1253">
      <w:pPr>
        <w:shd w:val="clear" w:color="auto" w:fill="FFFFFF"/>
        <w:spacing w:line="240" w:lineRule="auto"/>
        <w:ind w:firstLine="426"/>
        <w:rPr>
          <w:rFonts w:cs="Times New Roman"/>
          <w:b/>
          <w:bCs/>
          <w:color w:val="232323"/>
          <w:szCs w:val="24"/>
        </w:rPr>
      </w:pPr>
      <w:r w:rsidRPr="003E6AE3">
        <w:rPr>
          <w:rFonts w:cs="Times New Roman"/>
          <w:b/>
          <w:bCs/>
          <w:color w:val="232323"/>
          <w:szCs w:val="24"/>
        </w:rPr>
        <w:t>(2) Výpovědi osob, které již byly vyslechnuty, se do protokolu o hlavním líčení nebo o</w:t>
      </w:r>
      <w:r w:rsidR="0027186C" w:rsidRPr="003E6AE3">
        <w:rPr>
          <w:rFonts w:cs="Times New Roman"/>
          <w:b/>
          <w:bCs/>
          <w:color w:val="232323"/>
          <w:szCs w:val="24"/>
        </w:rPr>
        <w:t> </w:t>
      </w:r>
      <w:r w:rsidRPr="003E6AE3">
        <w:rPr>
          <w:rFonts w:cs="Times New Roman"/>
          <w:b/>
          <w:bCs/>
          <w:color w:val="232323"/>
          <w:szCs w:val="24"/>
        </w:rPr>
        <w:t>veřejném zasedání zapisují jen potud, pokud obsahují odchylky nebo dodatky k</w:t>
      </w:r>
      <w:r w:rsidR="00A41CB0">
        <w:rPr>
          <w:rFonts w:cs="Times New Roman"/>
          <w:b/>
          <w:bCs/>
          <w:color w:val="232323"/>
          <w:szCs w:val="24"/>
        </w:rPr>
        <w:t> </w:t>
      </w:r>
      <w:r w:rsidRPr="003E6AE3">
        <w:rPr>
          <w:rFonts w:cs="Times New Roman"/>
          <w:b/>
          <w:bCs/>
          <w:color w:val="232323"/>
          <w:szCs w:val="24"/>
        </w:rPr>
        <w:t>dřívějším výpovědím nebo vysvětlením. Státní zástupce nebo obviněný mohou žádat, aby výpověď učiněná v řízení před soudem nebo její část byla doslovně zaprotokolována; předseda senátu takové žádosti vyhoví, pokud předmětem výpovědi není jen opakování toho, co je již zachyceno v protokolu.</w:t>
      </w:r>
    </w:p>
    <w:p w14:paraId="1F96D411" w14:textId="0667B464" w:rsidR="00207E01" w:rsidRPr="00A41CB0" w:rsidRDefault="00207E01" w:rsidP="008E1253">
      <w:pPr>
        <w:keepNext/>
        <w:spacing w:line="240" w:lineRule="auto"/>
        <w:jc w:val="center"/>
        <w:outlineLvl w:val="1"/>
        <w:rPr>
          <w:rFonts w:eastAsia="Arial" w:cs="Times New Roman"/>
          <w:szCs w:val="24"/>
        </w:rPr>
      </w:pPr>
      <w:r w:rsidRPr="00A41CB0">
        <w:rPr>
          <w:rFonts w:eastAsia="Arial" w:cs="Times New Roman"/>
          <w:szCs w:val="24"/>
        </w:rPr>
        <w:t>§ 56</w:t>
      </w:r>
    </w:p>
    <w:p w14:paraId="0D375ED9" w14:textId="46A413C2" w:rsidR="00207E01" w:rsidRPr="003E6AE3" w:rsidRDefault="00207E01" w:rsidP="008E1253">
      <w:pPr>
        <w:spacing w:line="240" w:lineRule="auto"/>
        <w:jc w:val="center"/>
        <w:rPr>
          <w:rFonts w:eastAsia="Calibri" w:cs="Times New Roman"/>
          <w:szCs w:val="24"/>
        </w:rPr>
      </w:pPr>
      <w:r w:rsidRPr="003E6AE3">
        <w:rPr>
          <w:rFonts w:eastAsia="Calibri" w:cs="Times New Roman"/>
          <w:szCs w:val="24"/>
        </w:rPr>
        <w:t>Podpisování protokolu</w:t>
      </w:r>
    </w:p>
    <w:p w14:paraId="203E5698" w14:textId="0B7C5DB5" w:rsidR="00207E01" w:rsidRPr="003E6AE3" w:rsidRDefault="00207E01" w:rsidP="008E1253">
      <w:pPr>
        <w:spacing w:line="240" w:lineRule="auto"/>
        <w:ind w:firstLine="426"/>
        <w:rPr>
          <w:rFonts w:eastAsia="Calibri" w:cs="Times New Roman"/>
          <w:szCs w:val="24"/>
        </w:rPr>
      </w:pPr>
      <w:r w:rsidRPr="003E6AE3">
        <w:rPr>
          <w:rFonts w:eastAsia="Calibri" w:cs="Times New Roman"/>
          <w:szCs w:val="24"/>
        </w:rPr>
        <w:t>(1) Protokol o hlavním líčení a o veřejném a neveřejném zasedání podpisuje předseda senátu a zapisovatel</w:t>
      </w:r>
      <w:r w:rsidR="00211FC1" w:rsidRPr="003E6AE3">
        <w:rPr>
          <w:rFonts w:eastAsia="Calibri" w:cs="Times New Roman"/>
          <w:b/>
          <w:bCs/>
          <w:szCs w:val="24"/>
        </w:rPr>
        <w:t>, pokud byl k úkonu přibrán</w:t>
      </w:r>
      <w:r w:rsidRPr="003E6AE3">
        <w:rPr>
          <w:rFonts w:eastAsia="Calibri" w:cs="Times New Roman"/>
          <w:szCs w:val="24"/>
        </w:rPr>
        <w:t>; jiné protokoly podpíše ten, kdo úkon vykonal, a osoba, které se úkon týká, popřípadě zapisovatel, tlumočník, znalec nebo jiná osoba přivzatá k úkonu. Je-li úkon prováděn prostřednictvím videokonferenčního zařízení, osoba, jíž se úkon týká, protokol nepodepisuje. Má-li protokol o výslechu více stránek, musí vyslýchaná osoba podepsat každou stránku protokolu. Odmítne-li vyslýchaný nebo jiná osoba přivzatá k</w:t>
      </w:r>
      <w:r w:rsidR="00A41CB0">
        <w:rPr>
          <w:rFonts w:eastAsia="Calibri" w:cs="Times New Roman"/>
          <w:szCs w:val="24"/>
        </w:rPr>
        <w:t> </w:t>
      </w:r>
      <w:r w:rsidRPr="003E6AE3">
        <w:rPr>
          <w:rFonts w:eastAsia="Calibri" w:cs="Times New Roman"/>
          <w:szCs w:val="24"/>
        </w:rPr>
        <w:t>úkonu protokol podepsat, uvede se to v protokolu s poznamenáním důvodu odmítnutí.</w:t>
      </w:r>
    </w:p>
    <w:p w14:paraId="6D465BB0" w14:textId="0BA40A36" w:rsidR="00207E01" w:rsidRPr="003E6AE3" w:rsidRDefault="00207E01" w:rsidP="008E1253">
      <w:pPr>
        <w:spacing w:line="240" w:lineRule="auto"/>
        <w:ind w:firstLine="426"/>
        <w:rPr>
          <w:rFonts w:eastAsia="Calibri" w:cs="Times New Roman"/>
          <w:szCs w:val="24"/>
        </w:rPr>
      </w:pPr>
      <w:r w:rsidRPr="003E6AE3">
        <w:rPr>
          <w:rFonts w:eastAsia="Calibri" w:cs="Times New Roman"/>
          <w:szCs w:val="24"/>
        </w:rPr>
        <w:t>(2) Nemůže-li předseda senátu pro překážku delšího trvání podepsat protokol o hlavním líčení nebo o veřejném či neveřejném zasedání, podpíše jej jiný člen senátu. Je-li tato překážka u jiné osoby nebo u samosoudce, poznamená se v protokolu důvod, proč podpis odpadl.</w:t>
      </w:r>
    </w:p>
    <w:p w14:paraId="24AE3790" w14:textId="79AB25B6" w:rsidR="00B149D2" w:rsidRPr="00A41CB0" w:rsidRDefault="00B149D2" w:rsidP="008E1253">
      <w:pPr>
        <w:keepNext/>
        <w:spacing w:line="240" w:lineRule="auto"/>
        <w:jc w:val="center"/>
        <w:outlineLvl w:val="1"/>
        <w:rPr>
          <w:rFonts w:eastAsia="Arial" w:cs="Times New Roman"/>
          <w:szCs w:val="24"/>
        </w:rPr>
      </w:pPr>
      <w:r w:rsidRPr="00A41CB0">
        <w:rPr>
          <w:rFonts w:eastAsia="Arial" w:cs="Times New Roman"/>
          <w:szCs w:val="24"/>
        </w:rPr>
        <w:t>§ 58</w:t>
      </w:r>
    </w:p>
    <w:p w14:paraId="64EED100" w14:textId="42BE96DB" w:rsidR="00B149D2" w:rsidRPr="003E6AE3" w:rsidRDefault="00B149D2" w:rsidP="008E1253">
      <w:pPr>
        <w:spacing w:line="240" w:lineRule="auto"/>
        <w:jc w:val="center"/>
        <w:rPr>
          <w:rFonts w:eastAsia="Calibri" w:cs="Times New Roman"/>
          <w:szCs w:val="24"/>
        </w:rPr>
      </w:pPr>
      <w:r w:rsidRPr="003E6AE3">
        <w:rPr>
          <w:rFonts w:eastAsia="Calibri" w:cs="Times New Roman"/>
          <w:szCs w:val="24"/>
        </w:rPr>
        <w:t>Protokol o hlasování</w:t>
      </w:r>
    </w:p>
    <w:p w14:paraId="38D4D201" w14:textId="778F7404" w:rsidR="00B149D2" w:rsidRPr="003E6AE3" w:rsidRDefault="00B149D2" w:rsidP="008E1253">
      <w:pPr>
        <w:spacing w:line="240" w:lineRule="auto"/>
        <w:ind w:firstLine="426"/>
        <w:rPr>
          <w:rFonts w:eastAsia="Calibri" w:cs="Times New Roman"/>
          <w:szCs w:val="24"/>
        </w:rPr>
      </w:pPr>
      <w:r w:rsidRPr="003E6AE3">
        <w:rPr>
          <w:rFonts w:eastAsia="Calibri" w:cs="Times New Roman"/>
          <w:szCs w:val="24"/>
        </w:rPr>
        <w:t>(1) V protokolu o hlasování se uvede kromě všeobecných náležitostí (</w:t>
      </w:r>
      <w:hyperlink r:id="rId11" w:history="1">
        <w:r w:rsidRPr="00A41CB0">
          <w:t>§ 55 odst. 1</w:t>
        </w:r>
      </w:hyperlink>
      <w:r w:rsidRPr="003E6AE3">
        <w:rPr>
          <w:rFonts w:eastAsia="Calibri" w:cs="Times New Roman"/>
          <w:szCs w:val="24"/>
        </w:rPr>
        <w:t>)</w:t>
      </w:r>
    </w:p>
    <w:p w14:paraId="57894482" w14:textId="77777777" w:rsidR="00B149D2" w:rsidRPr="003E6AE3" w:rsidRDefault="00B149D2" w:rsidP="008E1253">
      <w:pPr>
        <w:spacing w:line="240" w:lineRule="auto"/>
        <w:rPr>
          <w:rFonts w:eastAsia="Calibri" w:cs="Times New Roman"/>
          <w:szCs w:val="24"/>
        </w:rPr>
      </w:pPr>
      <w:r w:rsidRPr="003E6AE3">
        <w:rPr>
          <w:rFonts w:eastAsia="Calibri" w:cs="Times New Roman"/>
          <w:szCs w:val="24"/>
        </w:rPr>
        <w:t>a) postup při jednotlivých hlasováních, jejich výsledek a výrok rozhodnutí,</w:t>
      </w:r>
    </w:p>
    <w:p w14:paraId="48160864" w14:textId="77777777" w:rsidR="00B149D2" w:rsidRPr="003E6AE3" w:rsidRDefault="00B149D2" w:rsidP="008E1253">
      <w:pPr>
        <w:spacing w:line="240" w:lineRule="auto"/>
        <w:rPr>
          <w:rFonts w:eastAsia="Calibri" w:cs="Times New Roman"/>
          <w:szCs w:val="24"/>
        </w:rPr>
      </w:pPr>
      <w:r w:rsidRPr="003E6AE3">
        <w:rPr>
          <w:rFonts w:eastAsia="Calibri" w:cs="Times New Roman"/>
          <w:szCs w:val="24"/>
        </w:rPr>
        <w:t>b) mínění odlišné od názoru většiny, a to v celém znění i se stručným odůvodněním.</w:t>
      </w:r>
    </w:p>
    <w:p w14:paraId="104CC404" w14:textId="48D05F3E" w:rsidR="00B149D2" w:rsidRDefault="00B149D2" w:rsidP="008E1253">
      <w:pPr>
        <w:spacing w:line="240" w:lineRule="auto"/>
        <w:ind w:firstLine="426"/>
        <w:rPr>
          <w:rFonts w:eastAsia="Calibri" w:cs="Times New Roman"/>
          <w:szCs w:val="24"/>
        </w:rPr>
      </w:pPr>
      <w:r w:rsidRPr="003E6AE3">
        <w:rPr>
          <w:rFonts w:eastAsia="Calibri" w:cs="Times New Roman"/>
          <w:szCs w:val="24"/>
        </w:rPr>
        <w:t>(2) Zápis o všech hlasováních, která se vyskytla v průběhu téhož jednání, pojme se do</w:t>
      </w:r>
      <w:r w:rsidR="00A41CB0">
        <w:rPr>
          <w:rFonts w:eastAsia="Calibri" w:cs="Times New Roman"/>
          <w:szCs w:val="24"/>
        </w:rPr>
        <w:t> </w:t>
      </w:r>
      <w:r w:rsidRPr="003E6AE3">
        <w:rPr>
          <w:rFonts w:eastAsia="Calibri" w:cs="Times New Roman"/>
          <w:szCs w:val="24"/>
        </w:rPr>
        <w:t>jediného protokolu o hlasování.</w:t>
      </w:r>
    </w:p>
    <w:p w14:paraId="2431D378" w14:textId="268A782A" w:rsidR="00895B13" w:rsidRPr="003E6AE3" w:rsidRDefault="00895B13" w:rsidP="008E1253">
      <w:pPr>
        <w:spacing w:line="240" w:lineRule="auto"/>
        <w:ind w:firstLine="426"/>
        <w:rPr>
          <w:rFonts w:eastAsia="Calibri" w:cs="Times New Roman"/>
          <w:szCs w:val="24"/>
        </w:rPr>
      </w:pPr>
      <w:r w:rsidRPr="003E6AE3">
        <w:rPr>
          <w:rFonts w:cs="Times New Roman"/>
          <w:b/>
          <w:bCs/>
          <w:szCs w:val="24"/>
        </w:rPr>
        <w:t>(3) Ve věcech, v nichž se protokol nediktoval a dosavadnímu průběhu hlavního líčení nebo veřejného zasedání nebyl přítomen zapisovatel, může předseda senátu k sepsání protokolu o hlasování zapisovatele buď přibrat, nebo takový protokol sepsat sám, anebo tím pověřit jiného člena senátu.</w:t>
      </w:r>
    </w:p>
    <w:p w14:paraId="6C087F34" w14:textId="03049A4A" w:rsidR="00B149D2" w:rsidRPr="00895B13" w:rsidRDefault="00B149D2" w:rsidP="008E1253">
      <w:pPr>
        <w:spacing w:line="240" w:lineRule="auto"/>
        <w:ind w:firstLine="426"/>
        <w:rPr>
          <w:rFonts w:eastAsia="Calibri" w:cs="Times New Roman"/>
          <w:strike/>
          <w:szCs w:val="24"/>
        </w:rPr>
      </w:pPr>
      <w:r w:rsidRPr="00895B13">
        <w:rPr>
          <w:rFonts w:eastAsia="Calibri" w:cs="Times New Roman"/>
          <w:strike/>
          <w:szCs w:val="24"/>
        </w:rPr>
        <w:t xml:space="preserve">(3) </w:t>
      </w:r>
      <w:r w:rsidR="00895B13" w:rsidRPr="00895B13">
        <w:rPr>
          <w:rFonts w:eastAsia="Calibri" w:cs="Times New Roman"/>
          <w:b/>
          <w:bCs/>
          <w:strike/>
          <w:szCs w:val="24"/>
        </w:rPr>
        <w:t xml:space="preserve">(4) </w:t>
      </w:r>
      <w:r w:rsidRPr="00895B13">
        <w:rPr>
          <w:rFonts w:eastAsia="Calibri" w:cs="Times New Roman"/>
          <w:strike/>
          <w:szCs w:val="24"/>
        </w:rPr>
        <w:t>Protokol o hlasování podpisují všichni členové senátu a zapisovatel.</w:t>
      </w:r>
    </w:p>
    <w:p w14:paraId="7423ACE0" w14:textId="68D821D7" w:rsidR="006C4FED" w:rsidRPr="003E6AE3" w:rsidRDefault="00895B13" w:rsidP="008E1253">
      <w:pPr>
        <w:shd w:val="clear" w:color="auto" w:fill="FFFFFF"/>
        <w:spacing w:line="240" w:lineRule="auto"/>
        <w:ind w:firstLine="426"/>
        <w:rPr>
          <w:rFonts w:cs="Times New Roman"/>
          <w:b/>
          <w:bCs/>
          <w:szCs w:val="24"/>
        </w:rPr>
      </w:pPr>
      <w:r>
        <w:rPr>
          <w:rFonts w:cs="Times New Roman"/>
          <w:b/>
          <w:bCs/>
          <w:szCs w:val="24"/>
        </w:rPr>
        <w:t xml:space="preserve">(4) </w:t>
      </w:r>
      <w:r w:rsidR="006C4FED" w:rsidRPr="003E6AE3">
        <w:rPr>
          <w:rFonts w:cs="Times New Roman"/>
          <w:b/>
          <w:bCs/>
          <w:szCs w:val="24"/>
        </w:rPr>
        <w:t>Protokol o hlasování podepisují všichni členové senátu a</w:t>
      </w:r>
      <w:r w:rsidR="00D7469C" w:rsidRPr="003E6AE3">
        <w:rPr>
          <w:rFonts w:cs="Times New Roman"/>
          <w:b/>
          <w:bCs/>
          <w:szCs w:val="24"/>
        </w:rPr>
        <w:t> </w:t>
      </w:r>
      <w:r w:rsidR="006C4FED" w:rsidRPr="003E6AE3">
        <w:rPr>
          <w:rFonts w:cs="Times New Roman"/>
          <w:b/>
          <w:bCs/>
          <w:szCs w:val="24"/>
        </w:rPr>
        <w:t>zapisovatel, pokud se hlavního líčení nebo veřejného zasedání účastnil nebo byl k sepsání protokolu o hlasování přibrán.</w:t>
      </w:r>
    </w:p>
    <w:p w14:paraId="1D04DF1C" w14:textId="4E7AFC0E" w:rsidR="00B149D2" w:rsidRPr="003E6AE3" w:rsidRDefault="00B149D2" w:rsidP="008E1253">
      <w:pPr>
        <w:spacing w:line="240" w:lineRule="auto"/>
        <w:ind w:firstLine="426"/>
        <w:rPr>
          <w:rFonts w:eastAsia="Calibri" w:cs="Times New Roman"/>
          <w:szCs w:val="24"/>
        </w:rPr>
      </w:pPr>
      <w:r w:rsidRPr="00895B13">
        <w:rPr>
          <w:rFonts w:eastAsia="Calibri" w:cs="Times New Roman"/>
          <w:strike/>
          <w:szCs w:val="24"/>
        </w:rPr>
        <w:t>(4)</w:t>
      </w:r>
      <w:r w:rsidRPr="003E6AE3">
        <w:rPr>
          <w:rFonts w:eastAsia="Calibri" w:cs="Times New Roman"/>
          <w:szCs w:val="24"/>
        </w:rPr>
        <w:t xml:space="preserve"> </w:t>
      </w:r>
      <w:r w:rsidR="00895B13">
        <w:rPr>
          <w:rFonts w:eastAsia="Calibri" w:cs="Times New Roman"/>
          <w:b/>
          <w:bCs/>
          <w:szCs w:val="24"/>
        </w:rPr>
        <w:t xml:space="preserve">(5) </w:t>
      </w:r>
      <w:r w:rsidRPr="003E6AE3">
        <w:rPr>
          <w:rFonts w:eastAsia="Calibri" w:cs="Times New Roman"/>
          <w:szCs w:val="24"/>
        </w:rPr>
        <w:t>Protokol o hlasování se zalepí a připojí k protokolu o jednání. Otevřít jej smí jen předseda senátu u nadřízeného soudu při rozhodování o opravném prostředku a předseda senátu Nejvyššího soudu při rozhodování o stížnosti pro porušení zákona, jakož i soudce pověřený vyhotovením rozsudku; po nahlédnutí jej opět zalepí a otevření potvrdí svým podpisem.</w:t>
      </w:r>
    </w:p>
    <w:p w14:paraId="4EA8EAF0" w14:textId="16C3113C" w:rsidR="00B149D2" w:rsidRPr="003E6AE3" w:rsidRDefault="00B149D2" w:rsidP="008E1253">
      <w:pPr>
        <w:spacing w:line="240" w:lineRule="auto"/>
        <w:ind w:firstLine="426"/>
        <w:rPr>
          <w:rFonts w:eastAsia="Calibri" w:cs="Times New Roman"/>
          <w:szCs w:val="24"/>
        </w:rPr>
      </w:pPr>
      <w:r w:rsidRPr="00895B13">
        <w:rPr>
          <w:rFonts w:eastAsia="Calibri" w:cs="Times New Roman"/>
          <w:strike/>
          <w:szCs w:val="24"/>
        </w:rPr>
        <w:t>(5)</w:t>
      </w:r>
      <w:r w:rsidRPr="003E6AE3">
        <w:rPr>
          <w:rFonts w:eastAsia="Calibri" w:cs="Times New Roman"/>
          <w:szCs w:val="24"/>
        </w:rPr>
        <w:t xml:space="preserve"> </w:t>
      </w:r>
      <w:r w:rsidR="00895B13">
        <w:rPr>
          <w:rFonts w:eastAsia="Calibri" w:cs="Times New Roman"/>
          <w:b/>
          <w:bCs/>
          <w:szCs w:val="24"/>
        </w:rPr>
        <w:t xml:space="preserve">(6) </w:t>
      </w:r>
      <w:r w:rsidRPr="003E6AE3">
        <w:rPr>
          <w:rFonts w:eastAsia="Calibri" w:cs="Times New Roman"/>
          <w:szCs w:val="24"/>
        </w:rPr>
        <w:t>Protokol o hlasování se nesepisuje, jde-li o jednoduchá rozhodnutí, na kterých se senát usnesl jednomyslně a kterým předcházela porada pouze v jednací síni bez přerušení jednání; v</w:t>
      </w:r>
      <w:r w:rsidR="00A41CB0">
        <w:rPr>
          <w:rFonts w:eastAsia="Calibri" w:cs="Times New Roman"/>
          <w:szCs w:val="24"/>
        </w:rPr>
        <w:t> </w:t>
      </w:r>
      <w:r w:rsidRPr="003E6AE3">
        <w:rPr>
          <w:rFonts w:eastAsia="Calibri" w:cs="Times New Roman"/>
          <w:szCs w:val="24"/>
        </w:rPr>
        <w:t>protokole o jednání se v takovém případě poznamená, že usnesení bylo učiněno bez přerušení jednání.</w:t>
      </w:r>
    </w:p>
    <w:p w14:paraId="6D7B14D8" w14:textId="425B967C" w:rsidR="00A77760" w:rsidRPr="00A41CB0" w:rsidRDefault="00A77760" w:rsidP="008E1253">
      <w:pPr>
        <w:keepNext/>
        <w:spacing w:line="240" w:lineRule="auto"/>
        <w:jc w:val="center"/>
        <w:outlineLvl w:val="1"/>
        <w:rPr>
          <w:rFonts w:eastAsia="Arial" w:cs="Times New Roman"/>
          <w:szCs w:val="24"/>
        </w:rPr>
      </w:pPr>
      <w:r w:rsidRPr="00A41CB0">
        <w:rPr>
          <w:rFonts w:eastAsia="Arial" w:cs="Times New Roman"/>
          <w:szCs w:val="24"/>
        </w:rPr>
        <w:t>§ 59</w:t>
      </w:r>
    </w:p>
    <w:p w14:paraId="1AE03FBB" w14:textId="67B2C8DE" w:rsidR="00A77760" w:rsidRPr="003E6AE3" w:rsidRDefault="00A77760" w:rsidP="008E1253">
      <w:pPr>
        <w:spacing w:line="240" w:lineRule="auto"/>
        <w:ind w:firstLine="426"/>
        <w:rPr>
          <w:rFonts w:cs="Times New Roman"/>
          <w:bCs/>
          <w:szCs w:val="24"/>
        </w:rPr>
      </w:pPr>
      <w:r w:rsidRPr="003E6AE3">
        <w:rPr>
          <w:rFonts w:cs="Times New Roman"/>
          <w:szCs w:val="24"/>
        </w:rPr>
        <w:t>(1) Podání se posuzuje vždy podle svého obsahu, i když je nesprávně označeno. Lze je učinit písemně, ústně do protokolu</w:t>
      </w:r>
      <w:r w:rsidRPr="003E6AE3">
        <w:rPr>
          <w:rFonts w:cs="Times New Roman"/>
          <w:strike/>
          <w:szCs w:val="24"/>
        </w:rPr>
        <w:t>, v</w:t>
      </w:r>
      <w:r w:rsidR="008C19D9" w:rsidRPr="003E6AE3">
        <w:rPr>
          <w:rFonts w:cs="Times New Roman"/>
          <w:strike/>
          <w:szCs w:val="24"/>
        </w:rPr>
        <w:t> </w:t>
      </w:r>
      <w:r w:rsidRPr="003E6AE3">
        <w:rPr>
          <w:rFonts w:cs="Times New Roman"/>
          <w:strike/>
          <w:szCs w:val="24"/>
        </w:rPr>
        <w:t>elektronické podobě, telegraficky, telefaxem nebo dálnopisem</w:t>
      </w:r>
      <w:r w:rsidR="003C6DF9" w:rsidRPr="003E6AE3">
        <w:rPr>
          <w:rFonts w:cs="Times New Roman"/>
          <w:szCs w:val="24"/>
        </w:rPr>
        <w:t xml:space="preserve"> </w:t>
      </w:r>
      <w:r w:rsidR="003C6DF9" w:rsidRPr="003E6AE3">
        <w:rPr>
          <w:rFonts w:cs="Times New Roman"/>
          <w:b/>
          <w:szCs w:val="24"/>
        </w:rPr>
        <w:t>nebo v</w:t>
      </w:r>
      <w:r w:rsidR="008C19D9" w:rsidRPr="003E6AE3">
        <w:rPr>
          <w:rFonts w:cs="Times New Roman"/>
          <w:b/>
          <w:szCs w:val="24"/>
        </w:rPr>
        <w:t> </w:t>
      </w:r>
      <w:r w:rsidR="003C6DF9" w:rsidRPr="003E6AE3">
        <w:rPr>
          <w:rFonts w:cs="Times New Roman"/>
          <w:b/>
          <w:szCs w:val="24"/>
        </w:rPr>
        <w:t>elektronické podobě</w:t>
      </w:r>
      <w:r w:rsidRPr="003E6AE3">
        <w:rPr>
          <w:rFonts w:cs="Times New Roman"/>
          <w:szCs w:val="24"/>
        </w:rPr>
        <w:t>.</w:t>
      </w:r>
    </w:p>
    <w:p w14:paraId="27F9AF98" w14:textId="5B7D553B" w:rsidR="00A77760" w:rsidRPr="003E6AE3" w:rsidRDefault="00A77760" w:rsidP="008E1253">
      <w:pPr>
        <w:spacing w:line="240" w:lineRule="auto"/>
        <w:ind w:firstLine="426"/>
        <w:rPr>
          <w:rFonts w:cs="Times New Roman"/>
          <w:bCs/>
          <w:szCs w:val="24"/>
        </w:rPr>
      </w:pPr>
      <w:r w:rsidRPr="003E6AE3">
        <w:rPr>
          <w:rFonts w:cs="Times New Roman"/>
          <w:szCs w:val="24"/>
        </w:rPr>
        <w:t>(2) V</w:t>
      </w:r>
      <w:r w:rsidR="008C19D9" w:rsidRPr="003E6AE3">
        <w:rPr>
          <w:rFonts w:cs="Times New Roman"/>
          <w:szCs w:val="24"/>
        </w:rPr>
        <w:t> </w:t>
      </w:r>
      <w:r w:rsidRPr="003E6AE3">
        <w:rPr>
          <w:rFonts w:cs="Times New Roman"/>
          <w:szCs w:val="24"/>
        </w:rPr>
        <w:t>přípravném řízení sepisují podání ústně do protokolu policejní orgány a okresní státní zastupitelství; v</w:t>
      </w:r>
      <w:r w:rsidR="008C19D9" w:rsidRPr="003E6AE3">
        <w:rPr>
          <w:rFonts w:cs="Times New Roman"/>
          <w:szCs w:val="24"/>
        </w:rPr>
        <w:t> </w:t>
      </w:r>
      <w:r w:rsidRPr="003E6AE3">
        <w:rPr>
          <w:rFonts w:cs="Times New Roman"/>
          <w:szCs w:val="24"/>
        </w:rPr>
        <w:t>řízení před soudem je sepisují okresní soudy. Jsou-li pro to důležité důvody, mohou je výjimečně sepsat i státní zastupitelství a soudy vyššího stupně. Ústně do</w:t>
      </w:r>
      <w:r w:rsidR="00A41CB0">
        <w:rPr>
          <w:rFonts w:cs="Times New Roman"/>
          <w:szCs w:val="24"/>
        </w:rPr>
        <w:t> </w:t>
      </w:r>
      <w:r w:rsidRPr="003E6AE3">
        <w:rPr>
          <w:rFonts w:cs="Times New Roman"/>
          <w:szCs w:val="24"/>
        </w:rPr>
        <w:t>protokolu nelze podat dovolání.</w:t>
      </w:r>
    </w:p>
    <w:p w14:paraId="30D218B6" w14:textId="764FAC18" w:rsidR="00A77760" w:rsidRPr="003E6AE3" w:rsidRDefault="00A77760" w:rsidP="008E1253">
      <w:pPr>
        <w:spacing w:line="240" w:lineRule="auto"/>
        <w:ind w:firstLine="426"/>
        <w:rPr>
          <w:rFonts w:cs="Times New Roman"/>
          <w:bCs/>
          <w:szCs w:val="24"/>
        </w:rPr>
      </w:pPr>
      <w:r w:rsidRPr="003E6AE3">
        <w:rPr>
          <w:rFonts w:cs="Times New Roman"/>
          <w:szCs w:val="24"/>
        </w:rPr>
        <w:t>(3) Pokud zákon pro podání určitého druhu nevyžaduje další náležitosti, musí být z</w:t>
      </w:r>
      <w:r w:rsidR="008C19D9" w:rsidRPr="003E6AE3">
        <w:rPr>
          <w:rFonts w:cs="Times New Roman"/>
          <w:szCs w:val="24"/>
        </w:rPr>
        <w:t> </w:t>
      </w:r>
      <w:r w:rsidRPr="003E6AE3">
        <w:rPr>
          <w:rFonts w:cs="Times New Roman"/>
          <w:szCs w:val="24"/>
        </w:rPr>
        <w:t>podání patrno, kterému orgánu činnému v</w:t>
      </w:r>
      <w:r w:rsidR="008C19D9" w:rsidRPr="003E6AE3">
        <w:rPr>
          <w:rFonts w:cs="Times New Roman"/>
          <w:szCs w:val="24"/>
        </w:rPr>
        <w:t> </w:t>
      </w:r>
      <w:r w:rsidRPr="003E6AE3">
        <w:rPr>
          <w:rFonts w:cs="Times New Roman"/>
          <w:szCs w:val="24"/>
        </w:rPr>
        <w:t>trestním řízení je určeno, kdo jej činí, které věci se týká a co sleduje, a musí být podepsáno a datováno. Podání je třeba předložit s</w:t>
      </w:r>
      <w:r w:rsidR="008C19D9" w:rsidRPr="003E6AE3">
        <w:rPr>
          <w:rFonts w:cs="Times New Roman"/>
          <w:szCs w:val="24"/>
        </w:rPr>
        <w:t> </w:t>
      </w:r>
      <w:r w:rsidRPr="003E6AE3">
        <w:rPr>
          <w:rFonts w:cs="Times New Roman"/>
          <w:szCs w:val="24"/>
        </w:rPr>
        <w:t>potřebným počtem stejnopisů a s</w:t>
      </w:r>
      <w:r w:rsidR="008C19D9" w:rsidRPr="003E6AE3">
        <w:rPr>
          <w:rFonts w:cs="Times New Roman"/>
          <w:szCs w:val="24"/>
        </w:rPr>
        <w:t> </w:t>
      </w:r>
      <w:r w:rsidRPr="003E6AE3">
        <w:rPr>
          <w:rFonts w:cs="Times New Roman"/>
          <w:szCs w:val="24"/>
        </w:rPr>
        <w:t>přílohami tak, aby jeden stejnopis zůstal u příslušného orgánu činného v</w:t>
      </w:r>
      <w:r w:rsidR="008C19D9" w:rsidRPr="003E6AE3">
        <w:rPr>
          <w:rFonts w:cs="Times New Roman"/>
          <w:szCs w:val="24"/>
        </w:rPr>
        <w:t> </w:t>
      </w:r>
      <w:r w:rsidRPr="003E6AE3">
        <w:rPr>
          <w:rFonts w:cs="Times New Roman"/>
          <w:szCs w:val="24"/>
        </w:rPr>
        <w:t>trestním řízení a aby každá osoba dotčená takovým podáním dostala jeden stejnopis, jestliže je toho třeba. Nesplňuje-li tyto požadavky, orgán činný v</w:t>
      </w:r>
      <w:r w:rsidR="008C19D9" w:rsidRPr="003E6AE3">
        <w:rPr>
          <w:rFonts w:cs="Times New Roman"/>
          <w:szCs w:val="24"/>
        </w:rPr>
        <w:t> </w:t>
      </w:r>
      <w:r w:rsidRPr="003E6AE3">
        <w:rPr>
          <w:rFonts w:cs="Times New Roman"/>
          <w:szCs w:val="24"/>
        </w:rPr>
        <w:t>trestním řízení ho vrátí podateli, je-li znám, k</w:t>
      </w:r>
      <w:r w:rsidR="008C19D9" w:rsidRPr="003E6AE3">
        <w:rPr>
          <w:rFonts w:cs="Times New Roman"/>
          <w:szCs w:val="24"/>
        </w:rPr>
        <w:t> </w:t>
      </w:r>
      <w:r w:rsidRPr="003E6AE3">
        <w:rPr>
          <w:rFonts w:cs="Times New Roman"/>
          <w:szCs w:val="24"/>
        </w:rPr>
        <w:t>doplnění s</w:t>
      </w:r>
      <w:r w:rsidR="008C19D9" w:rsidRPr="003E6AE3">
        <w:rPr>
          <w:rFonts w:cs="Times New Roman"/>
          <w:szCs w:val="24"/>
        </w:rPr>
        <w:t> </w:t>
      </w:r>
      <w:r w:rsidRPr="003E6AE3">
        <w:rPr>
          <w:rFonts w:cs="Times New Roman"/>
          <w:szCs w:val="24"/>
        </w:rPr>
        <w:t>příslušným poučením, jak nedostatky odstranit. Současně stanoví lhůtu k</w:t>
      </w:r>
      <w:r w:rsidR="008C19D9" w:rsidRPr="003E6AE3">
        <w:rPr>
          <w:rFonts w:cs="Times New Roman"/>
          <w:szCs w:val="24"/>
        </w:rPr>
        <w:t> </w:t>
      </w:r>
      <w:r w:rsidRPr="003E6AE3">
        <w:rPr>
          <w:rFonts w:cs="Times New Roman"/>
          <w:szCs w:val="24"/>
        </w:rPr>
        <w:t>jejich odstranění. Není-li podatel znám anebo nejsou-li nedostatky ve stanovené lhůtě odstraněny, k</w:t>
      </w:r>
      <w:r w:rsidR="008C19D9" w:rsidRPr="003E6AE3">
        <w:rPr>
          <w:rFonts w:cs="Times New Roman"/>
          <w:szCs w:val="24"/>
        </w:rPr>
        <w:t> </w:t>
      </w:r>
      <w:r w:rsidRPr="003E6AE3">
        <w:rPr>
          <w:rFonts w:cs="Times New Roman"/>
          <w:szCs w:val="24"/>
        </w:rPr>
        <w:t>podání se dále nepřihlíží; to neplatí pro trestní oznámení nebo pro jiný podnět, na</w:t>
      </w:r>
      <w:r w:rsidR="00A41CB0">
        <w:rPr>
          <w:rFonts w:cs="Times New Roman"/>
          <w:szCs w:val="24"/>
        </w:rPr>
        <w:t> </w:t>
      </w:r>
      <w:r w:rsidRPr="003E6AE3">
        <w:rPr>
          <w:rFonts w:cs="Times New Roman"/>
          <w:szCs w:val="24"/>
        </w:rPr>
        <w:t>jehož podkladě lze učinit závěr o podezření ze spáchání trestného činu, nebo pro podání, jehož obsahem je opravný prostředek, i když neobsahuje všechny uvedené náležitosti. Z</w:t>
      </w:r>
      <w:r w:rsidR="008C19D9" w:rsidRPr="003E6AE3">
        <w:rPr>
          <w:rFonts w:cs="Times New Roman"/>
          <w:szCs w:val="24"/>
        </w:rPr>
        <w:t> </w:t>
      </w:r>
      <w:r w:rsidRPr="003E6AE3">
        <w:rPr>
          <w:rFonts w:cs="Times New Roman"/>
          <w:szCs w:val="24"/>
        </w:rPr>
        <w:t>opravného prostředku však vždy musí být patrno, které rozhodnutí napadá a kdo jej činí.</w:t>
      </w:r>
    </w:p>
    <w:p w14:paraId="070AC454" w14:textId="0984A6F3" w:rsidR="00A77760" w:rsidRPr="003E6AE3" w:rsidRDefault="00A77760" w:rsidP="008E1253">
      <w:pPr>
        <w:spacing w:line="240" w:lineRule="auto"/>
        <w:ind w:firstLine="426"/>
        <w:rPr>
          <w:rFonts w:cs="Times New Roman"/>
          <w:bCs/>
          <w:szCs w:val="24"/>
        </w:rPr>
      </w:pPr>
      <w:r w:rsidRPr="003E6AE3">
        <w:rPr>
          <w:rFonts w:cs="Times New Roman"/>
          <w:szCs w:val="24"/>
        </w:rPr>
        <w:t>(4) Činí-li se ústně trestní oznámení, je nutno oznamovatele vyslechnout o okolnostech, za</w:t>
      </w:r>
      <w:r w:rsidR="00A41CB0">
        <w:rPr>
          <w:rFonts w:cs="Times New Roman"/>
          <w:szCs w:val="24"/>
        </w:rPr>
        <w:t> </w:t>
      </w:r>
      <w:r w:rsidRPr="003E6AE3">
        <w:rPr>
          <w:rFonts w:cs="Times New Roman"/>
          <w:szCs w:val="24"/>
        </w:rPr>
        <w:t>nichž byl čin spáchán, o osobních poměrech toho, na něhož se oznámení podává, o důkazech a o výši škody způsobené oznámeným činem; je-li oznamovatel zároveň poškozeným nebo jeho zmocněncem, musí být vyslechnut též o tom, zda žádá, aby soud rozhodl v</w:t>
      </w:r>
      <w:r w:rsidR="008C19D9" w:rsidRPr="003E6AE3">
        <w:rPr>
          <w:rFonts w:cs="Times New Roman"/>
          <w:szCs w:val="24"/>
        </w:rPr>
        <w:t> </w:t>
      </w:r>
      <w:r w:rsidRPr="003E6AE3">
        <w:rPr>
          <w:rFonts w:cs="Times New Roman"/>
          <w:szCs w:val="24"/>
        </w:rPr>
        <w:t>trestním řízení o</w:t>
      </w:r>
      <w:r w:rsidR="00A41CB0">
        <w:rPr>
          <w:rFonts w:cs="Times New Roman"/>
          <w:szCs w:val="24"/>
        </w:rPr>
        <w:t> </w:t>
      </w:r>
      <w:r w:rsidRPr="003E6AE3">
        <w:rPr>
          <w:rFonts w:cs="Times New Roman"/>
          <w:szCs w:val="24"/>
        </w:rPr>
        <w:t>jeho nároku na náhradu škody nebo nemajetkové újmy nebo na vydání bezdůvodného obohacení. Výslech má být proveden tak, aby byl získán podklad pro další řízení.</w:t>
      </w:r>
    </w:p>
    <w:p w14:paraId="65DB64A9" w14:textId="55EF61DE" w:rsidR="0026524C" w:rsidRPr="003E6AE3" w:rsidRDefault="00A77760" w:rsidP="008E1253">
      <w:pPr>
        <w:spacing w:line="240" w:lineRule="auto"/>
        <w:ind w:firstLine="426"/>
        <w:rPr>
          <w:rFonts w:cs="Times New Roman"/>
          <w:bCs/>
          <w:szCs w:val="24"/>
        </w:rPr>
      </w:pPr>
      <w:r w:rsidRPr="003E6AE3">
        <w:rPr>
          <w:rFonts w:cs="Times New Roman"/>
          <w:szCs w:val="24"/>
        </w:rPr>
        <w:t>(5) Jestliže byl protokol o trestním oznámení učiněném ústně sepsán u soudu, zašle jej soud neprodleně státnímu zástupci.</w:t>
      </w:r>
    </w:p>
    <w:p w14:paraId="5FB4D145" w14:textId="5241ACDE" w:rsidR="00D7536F" w:rsidRPr="00A41CB0" w:rsidRDefault="00D7536F" w:rsidP="008E1253">
      <w:pPr>
        <w:keepNext/>
        <w:spacing w:line="240" w:lineRule="auto"/>
        <w:jc w:val="center"/>
        <w:outlineLvl w:val="1"/>
        <w:rPr>
          <w:rFonts w:eastAsia="Arial" w:cs="Times New Roman"/>
          <w:b/>
          <w:bCs/>
          <w:szCs w:val="24"/>
        </w:rPr>
      </w:pPr>
      <w:r w:rsidRPr="00A41CB0">
        <w:rPr>
          <w:rFonts w:eastAsia="Arial" w:cs="Times New Roman"/>
          <w:b/>
          <w:bCs/>
          <w:szCs w:val="24"/>
        </w:rPr>
        <w:t>§ 64b</w:t>
      </w:r>
    </w:p>
    <w:p w14:paraId="36CD25C6" w14:textId="77777777" w:rsidR="00D7536F" w:rsidRPr="003E6AE3" w:rsidRDefault="00D7536F" w:rsidP="008E1253">
      <w:pPr>
        <w:spacing w:line="240" w:lineRule="auto"/>
        <w:jc w:val="center"/>
        <w:rPr>
          <w:rFonts w:cs="Times New Roman"/>
          <w:b/>
          <w:kern w:val="2"/>
          <w:szCs w:val="24"/>
          <w14:ligatures w14:val="standardContextual"/>
        </w:rPr>
      </w:pPr>
      <w:r w:rsidRPr="003E6AE3">
        <w:rPr>
          <w:rFonts w:cs="Times New Roman"/>
          <w:b/>
          <w:kern w:val="2"/>
          <w:szCs w:val="24"/>
          <w14:ligatures w14:val="standardContextual"/>
        </w:rPr>
        <w:t>Pátrání za účelem doručení písemnosti</w:t>
      </w:r>
    </w:p>
    <w:p w14:paraId="772EF15F" w14:textId="77777777" w:rsidR="00D7536F" w:rsidRPr="003E6AE3" w:rsidRDefault="00D7536F" w:rsidP="008E1253">
      <w:pPr>
        <w:spacing w:line="240" w:lineRule="auto"/>
        <w:ind w:firstLine="426"/>
        <w:rPr>
          <w:rFonts w:cs="Times New Roman"/>
          <w:b/>
          <w:kern w:val="2"/>
          <w:szCs w:val="24"/>
          <w14:ligatures w14:val="standardContextual"/>
        </w:rPr>
      </w:pPr>
      <w:r w:rsidRPr="003E6AE3">
        <w:rPr>
          <w:rFonts w:cs="Times New Roman"/>
          <w:b/>
          <w:kern w:val="2"/>
          <w:szCs w:val="24"/>
          <w14:ligatures w14:val="standardContextual"/>
        </w:rPr>
        <w:t>(1) Státní zástupce a v řízení před soudem předseda senátu může vydat příkaz k pátrání po osobě, o níž není známo, kde se zdržuje, a není možné jí doručit písemnost (dále jen „hledaná osoba“), pokud je doručení písemnosti nezbytné pro účely řádného provedení trestního řízení. Příkaz spolu s písemností, která má být doručena, zašle Policii České republiky</w:t>
      </w:r>
      <w:bookmarkStart w:id="14" w:name="lema0"/>
      <w:bookmarkStart w:id="15" w:name="lema2"/>
      <w:bookmarkEnd w:id="14"/>
      <w:bookmarkEnd w:id="15"/>
      <w:r w:rsidRPr="003E6AE3">
        <w:rPr>
          <w:rFonts w:cs="Times New Roman"/>
          <w:b/>
          <w:kern w:val="2"/>
          <w:szCs w:val="24"/>
          <w14:ligatures w14:val="standardContextual"/>
        </w:rPr>
        <w:t xml:space="preserve">. </w:t>
      </w:r>
    </w:p>
    <w:p w14:paraId="5EEEBE8C" w14:textId="77777777" w:rsidR="00D7536F" w:rsidRPr="003E6AE3" w:rsidRDefault="00D7536F" w:rsidP="008E1253">
      <w:pPr>
        <w:spacing w:line="240" w:lineRule="auto"/>
        <w:ind w:firstLine="426"/>
        <w:rPr>
          <w:rFonts w:cs="Times New Roman"/>
          <w:b/>
          <w:kern w:val="2"/>
          <w:szCs w:val="24"/>
          <w14:ligatures w14:val="standardContextual"/>
        </w:rPr>
      </w:pPr>
      <w:r w:rsidRPr="003E6AE3">
        <w:rPr>
          <w:rFonts w:cs="Times New Roman"/>
          <w:b/>
          <w:kern w:val="2"/>
          <w:szCs w:val="24"/>
          <w14:ligatures w14:val="standardContextual"/>
        </w:rPr>
        <w:t xml:space="preserve">(2) Příkaz k pátrání po hledané osobě musí obsahovat údaje zajišťující, že hledaná osoba nebude zaměněna s jinou, a důvod, pro který byl příkaz vydán. Součástí příkazu k pátrání je i příkaz k předvedení hledané osoby na Policii České republiky za účelem doručení písemnosti, pokud neposkytne potřebnou součinnost. </w:t>
      </w:r>
    </w:p>
    <w:p w14:paraId="0810F693" w14:textId="77777777" w:rsidR="00D7536F" w:rsidRPr="003E6AE3" w:rsidRDefault="00D7536F" w:rsidP="008E1253">
      <w:pPr>
        <w:spacing w:line="240" w:lineRule="auto"/>
        <w:ind w:firstLine="426"/>
        <w:rPr>
          <w:rFonts w:cs="Times New Roman"/>
          <w:b/>
          <w:kern w:val="2"/>
          <w:szCs w:val="24"/>
          <w14:ligatures w14:val="standardContextual"/>
        </w:rPr>
      </w:pPr>
      <w:r w:rsidRPr="003E6AE3">
        <w:rPr>
          <w:rFonts w:cs="Times New Roman"/>
          <w:b/>
          <w:kern w:val="2"/>
          <w:szCs w:val="24"/>
          <w14:ligatures w14:val="standardContextual"/>
        </w:rPr>
        <w:t xml:space="preserve">(3) Pátrání po hledané osobě provede na podkladě příkazu Policie České republiky. Pokud hledanou osobu nevypátrá do 2 měsíců od vyhlášení pátrání, vyrozumí o tom státního zástupce nebo předsedu senátu, který příkaz vydal, a uvede, jakým způsobem po hledané osobě pátrala. Pokud státní zástupce a v řízení před soudem předseda senátu příkaz k pátrání neodvolá, dá Polici České republiky pokyn ohledně dalšího postupu. </w:t>
      </w:r>
    </w:p>
    <w:p w14:paraId="0DD02698" w14:textId="6574727B" w:rsidR="00D7536F" w:rsidRPr="003E6AE3" w:rsidRDefault="00D7536F" w:rsidP="008E1253">
      <w:pPr>
        <w:spacing w:line="240" w:lineRule="auto"/>
        <w:ind w:firstLine="426"/>
        <w:rPr>
          <w:rFonts w:cs="Times New Roman"/>
          <w:b/>
          <w:kern w:val="2"/>
          <w:szCs w:val="24"/>
          <w14:ligatures w14:val="standardContextual"/>
        </w:rPr>
      </w:pPr>
      <w:r w:rsidRPr="003E6AE3">
        <w:rPr>
          <w:rFonts w:cs="Times New Roman"/>
          <w:b/>
          <w:kern w:val="2"/>
          <w:szCs w:val="24"/>
          <w14:ligatures w14:val="standardContextual"/>
        </w:rPr>
        <w:t xml:space="preserve">(4) Pokud dojde k vypátrání hledané osoby, příslušník Policie České republiky ji seznámí se skutečností, že po ní bylo vyhlášeno pátrání, a vyzve ji, aby poskytla potřebnou součinnost za účelem doručení písemnosti. Hledaná osoba je povinna takovou součinnost poskytnout. Pokud ji neposkytne, může být za účelem doručení písemnosti na nezbytnou dobu předvedena </w:t>
      </w:r>
      <w:r w:rsidR="00C82CE7">
        <w:rPr>
          <w:rFonts w:cs="Times New Roman"/>
          <w:b/>
          <w:kern w:val="2"/>
          <w:szCs w:val="24"/>
          <w14:ligatures w14:val="standardContextual"/>
        </w:rPr>
        <w:t>na</w:t>
      </w:r>
      <w:r w:rsidRPr="003E6AE3">
        <w:rPr>
          <w:rFonts w:cs="Times New Roman"/>
          <w:b/>
          <w:kern w:val="2"/>
          <w:szCs w:val="24"/>
          <w14:ligatures w14:val="standardContextual"/>
        </w:rPr>
        <w:t xml:space="preserve"> Policii České republiky; na to musí být předem upozorněna. Příslušník Policie České republiky hledané osobě sdělí, který orgán činný v trestním řízení příkaz k pátrání vydal a z jakého důvodu, a zjistí od ní údaje potřebné pro zajištění její přítomnosti v trestním řízení, zejména místo pobytu a její kontaktní údaje. Poté jí předá doručovanou písemnost. Pokud hledaná osoba odmítne písemnost převzít, vyslechne ji </w:t>
      </w:r>
      <w:r w:rsidRPr="003E6AE3">
        <w:rPr>
          <w:rFonts w:cs="Times New Roman"/>
          <w:b/>
          <w:szCs w:val="24"/>
        </w:rPr>
        <w:t xml:space="preserve">k důvodům, pro které odmítá doručovanou písemnost převzít, a poučí ji o skutečnostech uvedených v § 64a odst. 2. </w:t>
      </w:r>
    </w:p>
    <w:p w14:paraId="3C172A0C" w14:textId="7CD2C4BF" w:rsidR="00D7536F" w:rsidRPr="003E6AE3" w:rsidRDefault="00D7536F" w:rsidP="008E1253">
      <w:pPr>
        <w:spacing w:line="240" w:lineRule="auto"/>
        <w:ind w:firstLine="284"/>
        <w:rPr>
          <w:rFonts w:cs="Times New Roman"/>
          <w:b/>
          <w:kern w:val="2"/>
          <w:szCs w:val="24"/>
          <w14:ligatures w14:val="standardContextual"/>
        </w:rPr>
      </w:pPr>
      <w:r w:rsidRPr="003E6AE3">
        <w:rPr>
          <w:rFonts w:cs="Times New Roman"/>
          <w:b/>
          <w:kern w:val="2"/>
          <w:szCs w:val="24"/>
          <w14:ligatures w14:val="standardContextual"/>
        </w:rPr>
        <w:t xml:space="preserve">(5) O doručení písemnosti nebo o odepření jejího přijetí </w:t>
      </w:r>
      <w:r w:rsidR="009422AC" w:rsidRPr="009422AC">
        <w:rPr>
          <w:b/>
        </w:rPr>
        <w:t>a skutečnostech zjištěných podle odstavce 4</w:t>
      </w:r>
      <w:r w:rsidR="009422AC">
        <w:rPr>
          <w:b/>
        </w:rPr>
        <w:t xml:space="preserve"> </w:t>
      </w:r>
      <w:r w:rsidRPr="009422AC">
        <w:rPr>
          <w:rFonts w:cs="Times New Roman"/>
          <w:b/>
          <w:kern w:val="2"/>
          <w:szCs w:val="24"/>
          <w14:ligatures w14:val="standardContextual"/>
        </w:rPr>
        <w:t>se sepíše úřední záznam, v němž se případně uvede i skutečnost, že hledaná osoba byla za tímto účelem předvedena. Úřední záznam podepíš</w:t>
      </w:r>
      <w:r w:rsidRPr="003E6AE3">
        <w:rPr>
          <w:rFonts w:cs="Times New Roman"/>
          <w:b/>
          <w:kern w:val="2"/>
          <w:szCs w:val="24"/>
          <w14:ligatures w14:val="standardContextual"/>
        </w:rPr>
        <w:t>e příslušník Policie České republiky, kdo provedl úkony směřující k doručení písemnosti, a hledaná osoba. Odmítne-li hledaná osoba úřední záznam podepsat, uvede se to v úředním záznamu s poznamenáním důvodu odmítnutí. Policie České republiky úřední záznam bez zbytečného odkladu zašle orgánu, který vydal příkaz podle odstavce 1.</w:t>
      </w:r>
    </w:p>
    <w:p w14:paraId="71F5EAEE" w14:textId="77777777" w:rsidR="0031430A" w:rsidRDefault="0031430A" w:rsidP="0031430A"/>
    <w:p w14:paraId="5217D0D1" w14:textId="77777777" w:rsidR="0031430A" w:rsidRDefault="0031430A" w:rsidP="008E1253">
      <w:pPr>
        <w:keepNext/>
        <w:spacing w:line="240" w:lineRule="auto"/>
        <w:jc w:val="center"/>
        <w:outlineLvl w:val="1"/>
        <w:rPr>
          <w:rFonts w:eastAsia="Arial" w:cs="Times New Roman"/>
          <w:szCs w:val="24"/>
        </w:rPr>
      </w:pPr>
    </w:p>
    <w:p w14:paraId="3C108B2E" w14:textId="0242A746" w:rsidR="00643CE7" w:rsidRPr="003E6AE3" w:rsidRDefault="00643CE7" w:rsidP="008E1253">
      <w:pPr>
        <w:keepNext/>
        <w:spacing w:line="240" w:lineRule="auto"/>
        <w:jc w:val="center"/>
        <w:outlineLvl w:val="1"/>
        <w:rPr>
          <w:rFonts w:eastAsia="Arial" w:cs="Times New Roman"/>
          <w:bCs/>
          <w:szCs w:val="24"/>
        </w:rPr>
      </w:pPr>
      <w:r w:rsidRPr="003E6AE3">
        <w:rPr>
          <w:rFonts w:eastAsia="Arial" w:cs="Times New Roman"/>
          <w:szCs w:val="24"/>
        </w:rPr>
        <w:t>§ 65</w:t>
      </w:r>
    </w:p>
    <w:p w14:paraId="61B840D4" w14:textId="77777777" w:rsidR="00643CE7" w:rsidRPr="003E6AE3" w:rsidRDefault="00643CE7" w:rsidP="008E1253">
      <w:pPr>
        <w:spacing w:line="240" w:lineRule="auto"/>
        <w:jc w:val="center"/>
        <w:rPr>
          <w:rFonts w:eastAsia="Calibri" w:cs="Times New Roman"/>
          <w:bCs/>
          <w:szCs w:val="24"/>
        </w:rPr>
      </w:pPr>
      <w:r w:rsidRPr="003E6AE3">
        <w:rPr>
          <w:rFonts w:eastAsia="Calibri" w:cs="Times New Roman"/>
          <w:szCs w:val="24"/>
        </w:rPr>
        <w:t>Nahlížení do spisů</w:t>
      </w:r>
    </w:p>
    <w:p w14:paraId="2D0DB9CA" w14:textId="31F78ECD" w:rsidR="00F301E3" w:rsidRPr="003E6AE3" w:rsidRDefault="00643CE7" w:rsidP="008E1253">
      <w:pPr>
        <w:tabs>
          <w:tab w:val="left" w:pos="426"/>
        </w:tabs>
        <w:spacing w:line="240" w:lineRule="auto"/>
        <w:ind w:firstLine="426"/>
        <w:rPr>
          <w:rFonts w:eastAsia="Calibri" w:cs="Times New Roman"/>
          <w:b/>
          <w:bCs/>
          <w:szCs w:val="24"/>
        </w:rPr>
      </w:pPr>
      <w:r w:rsidRPr="003E6AE3">
        <w:rPr>
          <w:rFonts w:eastAsia="Calibri" w:cs="Times New Roman"/>
          <w:szCs w:val="24"/>
        </w:rPr>
        <w:t>(1) Obviněný, poškozený a zúčastněná osoba, jejich obhájci a zmocněnci mají právo nahlížet do spisů</w:t>
      </w:r>
      <w:r w:rsidRPr="00E9139B">
        <w:rPr>
          <w:rFonts w:eastAsia="Calibri" w:cs="Times New Roman"/>
          <w:strike/>
          <w:szCs w:val="24"/>
        </w:rPr>
        <w:t>, s</w:t>
      </w:r>
      <w:r w:rsidR="008C19D9" w:rsidRPr="00E9139B">
        <w:rPr>
          <w:rFonts w:eastAsia="Calibri" w:cs="Times New Roman"/>
          <w:strike/>
          <w:szCs w:val="24"/>
        </w:rPr>
        <w:t> </w:t>
      </w:r>
      <w:r w:rsidRPr="00E9139B">
        <w:rPr>
          <w:rFonts w:eastAsia="Calibri" w:cs="Times New Roman"/>
          <w:strike/>
          <w:szCs w:val="24"/>
        </w:rPr>
        <w:t>výjimkou protokolu o hlasování a osobních údajů svědka podle § 55 odst. 2, činit si z</w:t>
      </w:r>
      <w:r w:rsidR="008C19D9" w:rsidRPr="00E9139B">
        <w:rPr>
          <w:rFonts w:eastAsia="Calibri" w:cs="Times New Roman"/>
          <w:strike/>
          <w:szCs w:val="24"/>
        </w:rPr>
        <w:t> </w:t>
      </w:r>
      <w:r w:rsidRPr="00E9139B">
        <w:rPr>
          <w:rFonts w:eastAsia="Calibri" w:cs="Times New Roman"/>
          <w:strike/>
          <w:szCs w:val="24"/>
        </w:rPr>
        <w:t>nich výpisky a poznámky a pořizovat si na své náklady kopie spisů a jejich částí</w:t>
      </w:r>
      <w:r w:rsidRPr="003E6AE3">
        <w:rPr>
          <w:rFonts w:eastAsia="Calibri" w:cs="Times New Roman"/>
          <w:szCs w:val="24"/>
        </w:rPr>
        <w:t>. Totéž právo má zákonný zástupce nebo opatrovník obviněného, poškozeného nebo zúčastněné osoby, jestliže tyto osoby nejsou plně svéprávné nebo je-li jejich svéprávnost omezena. Jiné osoby tak mohou činit se souhlasem předsedy senátu a v</w:t>
      </w:r>
      <w:r w:rsidR="008C19D9" w:rsidRPr="003E6AE3">
        <w:rPr>
          <w:rFonts w:eastAsia="Calibri" w:cs="Times New Roman"/>
          <w:szCs w:val="24"/>
        </w:rPr>
        <w:t> </w:t>
      </w:r>
      <w:r w:rsidRPr="003E6AE3">
        <w:rPr>
          <w:rFonts w:eastAsia="Calibri" w:cs="Times New Roman"/>
          <w:szCs w:val="24"/>
        </w:rPr>
        <w:t>přípravném řízení se souhlasem státního zástupce nebo policejního orgánu, jen pokud je toho třeba k</w:t>
      </w:r>
      <w:r w:rsidR="008C19D9" w:rsidRPr="003E6AE3">
        <w:rPr>
          <w:rFonts w:eastAsia="Calibri" w:cs="Times New Roman"/>
          <w:szCs w:val="24"/>
        </w:rPr>
        <w:t> </w:t>
      </w:r>
      <w:r w:rsidRPr="003E6AE3">
        <w:rPr>
          <w:rFonts w:eastAsia="Calibri" w:cs="Times New Roman"/>
          <w:szCs w:val="24"/>
        </w:rPr>
        <w:t>uplatnění jejich práv.</w:t>
      </w:r>
      <w:r w:rsidR="00641051" w:rsidRPr="003E6AE3">
        <w:rPr>
          <w:rFonts w:eastAsia="Calibri" w:cs="Times New Roman"/>
          <w:szCs w:val="24"/>
        </w:rPr>
        <w:t xml:space="preserve"> </w:t>
      </w:r>
      <w:bookmarkStart w:id="16" w:name="_Hlk143513151"/>
      <w:bookmarkStart w:id="17" w:name="_Hlk144715682"/>
      <w:bookmarkStart w:id="18" w:name="_Hlk225337776"/>
      <w:r w:rsidR="00F301E3" w:rsidRPr="003E6AE3">
        <w:rPr>
          <w:rFonts w:eastAsia="Calibri" w:cs="Times New Roman"/>
          <w:b/>
          <w:bCs/>
          <w:szCs w:val="24"/>
        </w:rPr>
        <w:t>Právo nahlížet do</w:t>
      </w:r>
      <w:r w:rsidR="004934A8">
        <w:rPr>
          <w:rFonts w:eastAsia="Calibri" w:cs="Times New Roman"/>
          <w:b/>
          <w:bCs/>
          <w:szCs w:val="24"/>
        </w:rPr>
        <w:t> </w:t>
      </w:r>
      <w:r w:rsidR="00F301E3" w:rsidRPr="003E6AE3">
        <w:rPr>
          <w:rFonts w:eastAsia="Calibri" w:cs="Times New Roman"/>
          <w:b/>
          <w:bCs/>
          <w:szCs w:val="24"/>
        </w:rPr>
        <w:t xml:space="preserve">spisů zahrnuje také právo seznámit se s jejich přílohami, nahlížet, jaké jsou ke spisům připojeny věci sloužící k důkazním účelům, přehrát si zvukové nebo obrazové záznamy připojené ke spisům nebo uchovávané na místě v nich uvedeném, činit si výpisky a poznámky a pořizovat si na své náklady kopie spisů, jejich částí nebo příloh a zvukových nebo obrazových záznamů. </w:t>
      </w:r>
      <w:bookmarkEnd w:id="16"/>
      <w:r w:rsidR="00213FAF" w:rsidRPr="003E6AE3">
        <w:rPr>
          <w:rFonts w:eastAsia="Calibri" w:cs="Times New Roman"/>
          <w:b/>
          <w:bCs/>
          <w:szCs w:val="24"/>
          <w:lang w:eastAsia="cs-CZ"/>
        </w:rPr>
        <w:t>P</w:t>
      </w:r>
      <w:r w:rsidR="00F301E3" w:rsidRPr="003E6AE3">
        <w:rPr>
          <w:rFonts w:eastAsia="Calibri" w:cs="Times New Roman"/>
          <w:b/>
          <w:bCs/>
          <w:szCs w:val="24"/>
          <w:lang w:eastAsia="cs-CZ"/>
        </w:rPr>
        <w:t>řehrání zvukových nebo obrazových záznamů uchovávaných v elektronickém úložišti spravovaném Ministerstvem spravedlnosti</w:t>
      </w:r>
      <w:r w:rsidR="004934A8">
        <w:rPr>
          <w:rFonts w:eastAsia="Calibri" w:cs="Times New Roman"/>
          <w:b/>
          <w:bCs/>
          <w:szCs w:val="24"/>
          <w:lang w:eastAsia="cs-CZ"/>
        </w:rPr>
        <w:t xml:space="preserve"> </w:t>
      </w:r>
      <w:r w:rsidR="00F301E3" w:rsidRPr="003E6AE3">
        <w:rPr>
          <w:rFonts w:eastAsia="Calibri" w:cs="Times New Roman"/>
          <w:b/>
          <w:bCs/>
          <w:szCs w:val="24"/>
          <w:lang w:eastAsia="cs-CZ"/>
        </w:rPr>
        <w:t>a</w:t>
      </w:r>
      <w:r w:rsidR="00120F3A" w:rsidRPr="003E6AE3">
        <w:rPr>
          <w:rFonts w:eastAsia="Calibri" w:cs="Times New Roman"/>
          <w:b/>
          <w:bCs/>
          <w:szCs w:val="24"/>
          <w:lang w:eastAsia="cs-CZ"/>
        </w:rPr>
        <w:t> </w:t>
      </w:r>
      <w:r w:rsidR="00F301E3" w:rsidRPr="003E6AE3">
        <w:rPr>
          <w:rFonts w:eastAsia="Calibri" w:cs="Times New Roman"/>
          <w:b/>
          <w:bCs/>
          <w:szCs w:val="24"/>
          <w:lang w:eastAsia="cs-CZ"/>
        </w:rPr>
        <w:t>pořízení</w:t>
      </w:r>
      <w:r w:rsidR="004934A8">
        <w:rPr>
          <w:rFonts w:eastAsia="Calibri" w:cs="Times New Roman"/>
          <w:b/>
          <w:bCs/>
          <w:szCs w:val="24"/>
          <w:lang w:eastAsia="cs-CZ"/>
        </w:rPr>
        <w:t xml:space="preserve"> </w:t>
      </w:r>
      <w:r w:rsidR="00F301E3" w:rsidRPr="003E6AE3">
        <w:rPr>
          <w:rFonts w:eastAsia="Calibri" w:cs="Times New Roman"/>
          <w:b/>
          <w:bCs/>
          <w:szCs w:val="24"/>
          <w:lang w:eastAsia="cs-CZ"/>
        </w:rPr>
        <w:t xml:space="preserve">jejich kopie lze také </w:t>
      </w:r>
      <w:r w:rsidR="00213FAF" w:rsidRPr="003E6AE3">
        <w:rPr>
          <w:rFonts w:eastAsia="Calibri" w:cs="Times New Roman"/>
          <w:b/>
          <w:bCs/>
          <w:szCs w:val="24"/>
          <w:lang w:eastAsia="cs-CZ"/>
        </w:rPr>
        <w:t xml:space="preserve">umožnit </w:t>
      </w:r>
      <w:r w:rsidR="00F301E3" w:rsidRPr="003E6AE3">
        <w:rPr>
          <w:rFonts w:eastAsia="Calibri" w:cs="Times New Roman"/>
          <w:b/>
          <w:bCs/>
          <w:szCs w:val="24"/>
          <w:lang w:eastAsia="cs-CZ"/>
        </w:rPr>
        <w:t>poskytnutím časově omezeného dálkového přístupu k těmto záznamům.</w:t>
      </w:r>
      <w:bookmarkEnd w:id="17"/>
    </w:p>
    <w:bookmarkEnd w:id="18"/>
    <w:p w14:paraId="3D4E3FCD" w14:textId="728D7406"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(2) V</w:t>
      </w:r>
      <w:r w:rsidR="008C19D9" w:rsidRPr="003E6AE3">
        <w:rPr>
          <w:rFonts w:eastAsia="Calibri" w:cs="Times New Roman"/>
          <w:szCs w:val="24"/>
        </w:rPr>
        <w:t> </w:t>
      </w:r>
      <w:r w:rsidRPr="003E6AE3">
        <w:rPr>
          <w:rFonts w:eastAsia="Calibri" w:cs="Times New Roman"/>
          <w:szCs w:val="24"/>
        </w:rPr>
        <w:t>přípravném řízení může státní zástupce nebo policejní orgán právo nahlédnout do spisů a spolu s</w:t>
      </w:r>
      <w:r w:rsidR="008C19D9" w:rsidRPr="003E6AE3">
        <w:rPr>
          <w:rFonts w:eastAsia="Calibri" w:cs="Times New Roman"/>
          <w:szCs w:val="24"/>
        </w:rPr>
        <w:t> </w:t>
      </w:r>
      <w:r w:rsidRPr="003E6AE3">
        <w:rPr>
          <w:rFonts w:eastAsia="Calibri" w:cs="Times New Roman"/>
          <w:szCs w:val="24"/>
        </w:rPr>
        <w:t>tím ostatní práva uvedená v</w:t>
      </w:r>
      <w:r w:rsidR="008C19D9" w:rsidRPr="003E6AE3">
        <w:rPr>
          <w:rFonts w:eastAsia="Calibri" w:cs="Times New Roman"/>
          <w:szCs w:val="24"/>
        </w:rPr>
        <w:t> </w:t>
      </w:r>
      <w:r w:rsidRPr="003E6AE3">
        <w:rPr>
          <w:rFonts w:eastAsia="Calibri" w:cs="Times New Roman"/>
          <w:szCs w:val="24"/>
        </w:rPr>
        <w:t xml:space="preserve">odstavci 1 ze závažných důvodů odepřít. Závažnost důvodů, ze kterých tato práva odepřel policejní orgán, je na žádost osoby, jíž se odepření týká, státní zástupce povinen urychleně přezkoumat. Tato práva nelze odepřít obviněnému a obhájci, jakmile byli upozorněni na možnost prostudovat spisy, a při sjednávání dohody o vině a trestu. </w:t>
      </w:r>
    </w:p>
    <w:p w14:paraId="5AE72016" w14:textId="2F8DD70A"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(3) Tomu, kdo měl právo být úkonu přítomen, nemůže být odepřeno nahlédnutí do protokolu o takovém úkonu. Obviněnému a jeho obhájci nemůže být odepřeno nahlédnutí do usnesení o zahájení trestního stíhání (§ 160 odst. 1).</w:t>
      </w:r>
    </w:p>
    <w:p w14:paraId="6FC6C587" w14:textId="0DA4C677"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(4) Práva státních orgánů a národního člena Eurojustu nahlížet do spisů podle jiných zákonných předpisů nejsou ustanovením předchozích odstavců dotčena.</w:t>
      </w:r>
    </w:p>
    <w:p w14:paraId="3794CE92" w14:textId="51A7C960"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(5) Při povolování nahlížet do spisů je nutno učinit takové opatření, aby byla zachována tajnost utajovaných informací chráněných zvláštním zákonem a údajů, na které se vztahuje státem uložená nebo uznaná povinnost mlčenlivosti.</w:t>
      </w:r>
    </w:p>
    <w:p w14:paraId="548D7C14" w14:textId="40B5D0BF" w:rsidR="00641051" w:rsidRPr="003E6AE3" w:rsidRDefault="00643CE7" w:rsidP="008E1253">
      <w:pPr>
        <w:spacing w:line="240" w:lineRule="auto"/>
        <w:ind w:firstLine="426"/>
        <w:rPr>
          <w:rFonts w:eastAsia="Calibri" w:cs="Times New Roman"/>
          <w:bCs/>
          <w:szCs w:val="24"/>
        </w:rPr>
      </w:pPr>
      <w:r w:rsidRPr="003E6AE3">
        <w:rPr>
          <w:rFonts w:eastAsia="Calibri" w:cs="Times New Roman"/>
          <w:szCs w:val="24"/>
        </w:rPr>
        <w:t xml:space="preserve">(6) </w:t>
      </w:r>
      <w:bookmarkStart w:id="19" w:name="_Hlk225337965"/>
      <w:r w:rsidR="00C7216E" w:rsidRPr="003E6AE3">
        <w:rPr>
          <w:rFonts w:eastAsia="Calibri" w:cs="Times New Roman"/>
          <w:b/>
          <w:szCs w:val="24"/>
        </w:rPr>
        <w:t>Při nahlížení do spisů nesmí být zpřístupněn protokol o hlasování a údaje umožňující identifikaci svědka podle § 55 odst. 2.</w:t>
      </w:r>
      <w:bookmarkEnd w:id="19"/>
      <w:r w:rsidR="00C7216E" w:rsidRPr="003E6AE3">
        <w:rPr>
          <w:rFonts w:eastAsia="Calibri" w:cs="Times New Roman"/>
          <w:b/>
          <w:szCs w:val="24"/>
        </w:rPr>
        <w:t xml:space="preserve"> </w:t>
      </w:r>
      <w:r w:rsidRPr="003E6AE3">
        <w:rPr>
          <w:rFonts w:eastAsia="Calibri" w:cs="Times New Roman"/>
          <w:szCs w:val="24"/>
        </w:rPr>
        <w:t>Při nahlížení do spisů je nutno učinit taková opatření, aby nebyly zpřístupněny údaje, se kterými se podle § 55 odst. 1 písm. c) mohou seznamovat pouze orgány činné v</w:t>
      </w:r>
      <w:r w:rsidR="008C19D9" w:rsidRPr="003E6AE3">
        <w:rPr>
          <w:rFonts w:eastAsia="Calibri" w:cs="Times New Roman"/>
          <w:szCs w:val="24"/>
        </w:rPr>
        <w:t> </w:t>
      </w:r>
      <w:r w:rsidRPr="003E6AE3">
        <w:rPr>
          <w:rFonts w:eastAsia="Calibri" w:cs="Times New Roman"/>
          <w:szCs w:val="24"/>
        </w:rPr>
        <w:t>trestním řízení a úředníci Probační a mediační služby činní v</w:t>
      </w:r>
      <w:r w:rsidR="008C19D9" w:rsidRPr="003E6AE3">
        <w:rPr>
          <w:rFonts w:eastAsia="Calibri" w:cs="Times New Roman"/>
          <w:szCs w:val="24"/>
        </w:rPr>
        <w:t> </w:t>
      </w:r>
      <w:r w:rsidRPr="003E6AE3">
        <w:rPr>
          <w:rFonts w:eastAsia="Calibri" w:cs="Times New Roman"/>
          <w:szCs w:val="24"/>
        </w:rPr>
        <w:t>dané věci. V</w:t>
      </w:r>
      <w:r w:rsidR="008C19D9" w:rsidRPr="003E6AE3">
        <w:rPr>
          <w:rFonts w:eastAsia="Calibri" w:cs="Times New Roman"/>
          <w:szCs w:val="24"/>
        </w:rPr>
        <w:t> </w:t>
      </w:r>
      <w:r w:rsidRPr="003E6AE3">
        <w:rPr>
          <w:rFonts w:eastAsia="Calibri" w:cs="Times New Roman"/>
          <w:szCs w:val="24"/>
        </w:rPr>
        <w:t>případě žádosti osoby, proti níž se trestní řízení vede, o sdělení těchto údajů se užije § 55 odst. 1 písm. c) obdobně.</w:t>
      </w:r>
    </w:p>
    <w:bookmarkEnd w:id="13"/>
    <w:p w14:paraId="4D00FFB1" w14:textId="6C1EB176" w:rsidR="00643CE7" w:rsidRPr="003E6AE3" w:rsidRDefault="00643CE7" w:rsidP="008E1253">
      <w:pPr>
        <w:keepNext/>
        <w:spacing w:line="240" w:lineRule="auto"/>
        <w:jc w:val="center"/>
        <w:outlineLvl w:val="1"/>
        <w:rPr>
          <w:rFonts w:eastAsia="Arial" w:cs="Times New Roman"/>
          <w:bCs/>
          <w:szCs w:val="24"/>
        </w:rPr>
      </w:pPr>
      <w:r w:rsidRPr="003E6AE3">
        <w:rPr>
          <w:rFonts w:eastAsia="Arial" w:cs="Times New Roman"/>
          <w:szCs w:val="24"/>
        </w:rPr>
        <w:t>§ 73g</w:t>
      </w:r>
    </w:p>
    <w:p w14:paraId="3A5DFAE6" w14:textId="77777777" w:rsidR="00643CE7" w:rsidRPr="003E6AE3" w:rsidRDefault="00643CE7" w:rsidP="008E1253">
      <w:pPr>
        <w:spacing w:line="240" w:lineRule="auto"/>
        <w:jc w:val="center"/>
        <w:rPr>
          <w:rFonts w:eastAsia="Calibri" w:cs="Times New Roman"/>
          <w:bCs/>
          <w:szCs w:val="24"/>
        </w:rPr>
      </w:pPr>
      <w:r w:rsidRPr="003E6AE3">
        <w:rPr>
          <w:rFonts w:eastAsia="Calibri" w:cs="Times New Roman"/>
          <w:szCs w:val="24"/>
        </w:rPr>
        <w:t>Průběh vazebního zasedání</w:t>
      </w:r>
    </w:p>
    <w:p w14:paraId="426F1BFA" w14:textId="7C96A3DF"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(1) Po zahájení vazebního zasedání podá předseda senátu nebo určený člen senátu a v</w:t>
      </w:r>
      <w:r w:rsidR="008C19D9" w:rsidRPr="003E6AE3">
        <w:rPr>
          <w:rFonts w:eastAsia="Calibri" w:cs="Times New Roman"/>
          <w:szCs w:val="24"/>
        </w:rPr>
        <w:t> </w:t>
      </w:r>
      <w:r w:rsidRPr="003E6AE3">
        <w:rPr>
          <w:rFonts w:eastAsia="Calibri" w:cs="Times New Roman"/>
          <w:szCs w:val="24"/>
        </w:rPr>
        <w:t>přípravném řízení soudce zprávu o stavu věci. Poté podle povahy věci přednese návrh státní zástupce nebo žádost o propuštění z</w:t>
      </w:r>
      <w:r w:rsidR="008C19D9" w:rsidRPr="003E6AE3">
        <w:rPr>
          <w:rFonts w:eastAsia="Calibri" w:cs="Times New Roman"/>
          <w:szCs w:val="24"/>
        </w:rPr>
        <w:t> </w:t>
      </w:r>
      <w:r w:rsidRPr="003E6AE3">
        <w:rPr>
          <w:rFonts w:eastAsia="Calibri" w:cs="Times New Roman"/>
          <w:szCs w:val="24"/>
        </w:rPr>
        <w:t>vazby obviněný nebo jeho obhájce.</w:t>
      </w:r>
    </w:p>
    <w:p w14:paraId="3B91182B" w14:textId="2FA643A1"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(2) Státní zástupce, obviněný a jeho obhájce přednesou svá vyjádření a případné návrhy na provedení šetření potřebného pro rozhodnutí o vazbě. Není-li některá z</w:t>
      </w:r>
      <w:r w:rsidR="008C19D9" w:rsidRPr="003E6AE3">
        <w:rPr>
          <w:rFonts w:eastAsia="Calibri" w:cs="Times New Roman"/>
          <w:szCs w:val="24"/>
        </w:rPr>
        <w:t> </w:t>
      </w:r>
      <w:r w:rsidRPr="003E6AE3">
        <w:rPr>
          <w:rFonts w:eastAsia="Calibri" w:cs="Times New Roman"/>
          <w:szCs w:val="24"/>
        </w:rPr>
        <w:t>těchto osob přítomna a jsou-li její vyjádření a návrhy obsaženy ve spise, anebo požádá-li o to, přednese jejich obsah předseda senátu nebo jím určený člen senátu a v</w:t>
      </w:r>
      <w:r w:rsidR="008C19D9" w:rsidRPr="003E6AE3">
        <w:rPr>
          <w:rFonts w:eastAsia="Calibri" w:cs="Times New Roman"/>
          <w:szCs w:val="24"/>
        </w:rPr>
        <w:t> </w:t>
      </w:r>
      <w:r w:rsidRPr="003E6AE3">
        <w:rPr>
          <w:rFonts w:eastAsia="Calibri" w:cs="Times New Roman"/>
          <w:szCs w:val="24"/>
        </w:rPr>
        <w:t>přípravném řízení soudce. Následně předseda senátu a v</w:t>
      </w:r>
      <w:r w:rsidR="008C19D9" w:rsidRPr="003E6AE3">
        <w:rPr>
          <w:rFonts w:eastAsia="Calibri" w:cs="Times New Roman"/>
          <w:szCs w:val="24"/>
        </w:rPr>
        <w:t> </w:t>
      </w:r>
      <w:r w:rsidRPr="003E6AE3">
        <w:rPr>
          <w:rFonts w:eastAsia="Calibri" w:cs="Times New Roman"/>
          <w:szCs w:val="24"/>
        </w:rPr>
        <w:t>přípravném řízení soudce vyslechne obviněného ke všem okolnostem podstatným pro rozhodnutí o vazbě. Státní zástupce a obhájce mohou klást obviněnému otázky, avšak teprve tehdy, až jim k</w:t>
      </w:r>
      <w:r w:rsidR="008C19D9" w:rsidRPr="003E6AE3">
        <w:rPr>
          <w:rFonts w:eastAsia="Calibri" w:cs="Times New Roman"/>
          <w:szCs w:val="24"/>
        </w:rPr>
        <w:t> </w:t>
      </w:r>
      <w:r w:rsidRPr="003E6AE3">
        <w:rPr>
          <w:rFonts w:eastAsia="Calibri" w:cs="Times New Roman"/>
          <w:szCs w:val="24"/>
        </w:rPr>
        <w:t>tomu předseda senátu a v</w:t>
      </w:r>
      <w:r w:rsidR="008C19D9" w:rsidRPr="003E6AE3">
        <w:rPr>
          <w:rFonts w:eastAsia="Calibri" w:cs="Times New Roman"/>
          <w:szCs w:val="24"/>
        </w:rPr>
        <w:t> </w:t>
      </w:r>
      <w:r w:rsidRPr="003E6AE3">
        <w:rPr>
          <w:rFonts w:eastAsia="Calibri" w:cs="Times New Roman"/>
          <w:szCs w:val="24"/>
        </w:rPr>
        <w:t>přípravném řízení soudce udělí slovo.</w:t>
      </w:r>
    </w:p>
    <w:p w14:paraId="4858F500" w14:textId="4279E466"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(3) Jsou-li ve vazebním zasedání prováděny důkazy, užije se přiměřeně ustanovení o dokazování v</w:t>
      </w:r>
      <w:r w:rsidR="008C19D9" w:rsidRPr="003E6AE3">
        <w:rPr>
          <w:rFonts w:eastAsia="Calibri" w:cs="Times New Roman"/>
          <w:szCs w:val="24"/>
        </w:rPr>
        <w:t> </w:t>
      </w:r>
      <w:r w:rsidRPr="003E6AE3">
        <w:rPr>
          <w:rFonts w:eastAsia="Calibri" w:cs="Times New Roman"/>
          <w:szCs w:val="24"/>
        </w:rPr>
        <w:t>hlavním líčení; omezení v</w:t>
      </w:r>
      <w:r w:rsidR="008C19D9" w:rsidRPr="003E6AE3">
        <w:rPr>
          <w:rFonts w:eastAsia="Calibri" w:cs="Times New Roman"/>
          <w:szCs w:val="24"/>
        </w:rPr>
        <w:t> </w:t>
      </w:r>
      <w:r w:rsidRPr="003E6AE3">
        <w:rPr>
          <w:rFonts w:eastAsia="Calibri" w:cs="Times New Roman"/>
          <w:szCs w:val="24"/>
        </w:rPr>
        <w:t>provádění důkazů čtením protokolu o výpovědi svědka nebo znalce (§ 211 odst. 1 a 5) se neuplatní.</w:t>
      </w:r>
    </w:p>
    <w:p w14:paraId="17BBD080" w14:textId="38A3BFC0"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(4) Na závěr vazebního zasedání předseda senátu a v</w:t>
      </w:r>
      <w:r w:rsidR="008C19D9" w:rsidRPr="003E6AE3">
        <w:rPr>
          <w:rFonts w:eastAsia="Calibri" w:cs="Times New Roman"/>
          <w:szCs w:val="24"/>
        </w:rPr>
        <w:t> </w:t>
      </w:r>
      <w:r w:rsidRPr="003E6AE3">
        <w:rPr>
          <w:rFonts w:eastAsia="Calibri" w:cs="Times New Roman"/>
          <w:szCs w:val="24"/>
        </w:rPr>
        <w:t>přípravném řízení soudce udělí slovo k</w:t>
      </w:r>
      <w:r w:rsidR="008C19D9" w:rsidRPr="003E6AE3">
        <w:rPr>
          <w:rFonts w:eastAsia="Calibri" w:cs="Times New Roman"/>
          <w:szCs w:val="24"/>
        </w:rPr>
        <w:t> </w:t>
      </w:r>
      <w:r w:rsidRPr="003E6AE3">
        <w:rPr>
          <w:rFonts w:eastAsia="Calibri" w:cs="Times New Roman"/>
          <w:szCs w:val="24"/>
        </w:rPr>
        <w:t>závěrečným návrhům státnímu zástupci, obhájci a obviněnému.</w:t>
      </w:r>
    </w:p>
    <w:p w14:paraId="1B3A8DA0" w14:textId="77777777"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(5) Rozhodnutí se vždy vyhlásí ve vazebním zasedání.</w:t>
      </w:r>
    </w:p>
    <w:p w14:paraId="305805C6" w14:textId="77777777"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(6) Ustanovení § 55b</w:t>
      </w:r>
      <w:r w:rsidRPr="003E6AE3">
        <w:rPr>
          <w:rFonts w:eastAsia="Calibri" w:cs="Times New Roman"/>
          <w:strike/>
          <w:szCs w:val="24"/>
        </w:rPr>
        <w:t>, 56 a 57</w:t>
      </w:r>
      <w:r w:rsidRPr="003E6AE3">
        <w:rPr>
          <w:rFonts w:eastAsia="Calibri" w:cs="Times New Roman"/>
          <w:szCs w:val="24"/>
        </w:rPr>
        <w:t xml:space="preserve"> </w:t>
      </w:r>
      <w:r w:rsidRPr="003E6AE3">
        <w:rPr>
          <w:rFonts w:eastAsia="Calibri" w:cs="Times New Roman"/>
          <w:b/>
          <w:szCs w:val="24"/>
        </w:rPr>
        <w:t xml:space="preserve">až 58 </w:t>
      </w:r>
      <w:r w:rsidRPr="003E6AE3">
        <w:rPr>
          <w:rFonts w:eastAsia="Calibri" w:cs="Times New Roman"/>
          <w:szCs w:val="24"/>
        </w:rPr>
        <w:t>se přiměřeně užijí i na vazební zasedání.</w:t>
      </w:r>
    </w:p>
    <w:p w14:paraId="3BE23DD1" w14:textId="77777777" w:rsidR="00643CE7" w:rsidRPr="003E6AE3" w:rsidRDefault="00643CE7" w:rsidP="008E1253">
      <w:pPr>
        <w:keepNext/>
        <w:spacing w:line="240" w:lineRule="auto"/>
        <w:jc w:val="center"/>
        <w:outlineLvl w:val="1"/>
        <w:rPr>
          <w:rFonts w:eastAsia="Arial" w:cs="Times New Roman"/>
          <w:bCs/>
          <w:szCs w:val="24"/>
          <w:lang w:eastAsia="cs-CZ"/>
        </w:rPr>
      </w:pPr>
      <w:r w:rsidRPr="003E6AE3">
        <w:rPr>
          <w:rFonts w:eastAsia="Arial" w:cs="Times New Roman"/>
          <w:szCs w:val="24"/>
          <w:lang w:eastAsia="cs-CZ"/>
        </w:rPr>
        <w:t>§ 79f</w:t>
      </w:r>
    </w:p>
    <w:p w14:paraId="716A604D" w14:textId="77777777" w:rsidR="00643CE7" w:rsidRPr="003E6AE3" w:rsidRDefault="00643CE7" w:rsidP="008E1253">
      <w:pPr>
        <w:tabs>
          <w:tab w:val="left" w:pos="426"/>
        </w:tabs>
        <w:spacing w:line="240" w:lineRule="auto"/>
        <w:jc w:val="center"/>
        <w:rPr>
          <w:rFonts w:eastAsia="Arial" w:cs="Times New Roman"/>
          <w:bCs/>
          <w:szCs w:val="24"/>
          <w:lang w:eastAsia="cs-CZ"/>
        </w:rPr>
      </w:pPr>
      <w:r w:rsidRPr="003E6AE3">
        <w:rPr>
          <w:rFonts w:eastAsia="Arial" w:cs="Times New Roman"/>
          <w:szCs w:val="24"/>
          <w:lang w:eastAsia="cs-CZ"/>
        </w:rPr>
        <w:t>Zrušení nebo omezení zajištění</w:t>
      </w:r>
    </w:p>
    <w:p w14:paraId="18FD60F6" w14:textId="654B7EAB" w:rsidR="00643CE7" w:rsidRPr="003E6AE3" w:rsidRDefault="00643CE7"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(1) Zajištění věci se zruší nebo omezí, není-li jej již třeba nebo jej není třeba ve stanoveném rozsahu. Bylo-li zrušeno zajištění věci, jež byla ponechána na místě, kde se nachází, odvolá se též příkaz k</w:t>
      </w:r>
      <w:r w:rsidR="008C19D9" w:rsidRPr="003E6AE3">
        <w:rPr>
          <w:rFonts w:eastAsia="Arial" w:cs="Times New Roman"/>
          <w:szCs w:val="24"/>
          <w:lang w:eastAsia="cs-CZ"/>
        </w:rPr>
        <w:t> </w:t>
      </w:r>
      <w:r w:rsidRPr="003E6AE3">
        <w:rPr>
          <w:rFonts w:eastAsia="Arial" w:cs="Times New Roman"/>
          <w:szCs w:val="24"/>
          <w:lang w:eastAsia="cs-CZ"/>
        </w:rPr>
        <w:t>zdržení se nakládání s</w:t>
      </w:r>
      <w:r w:rsidR="008C19D9" w:rsidRPr="003E6AE3">
        <w:rPr>
          <w:rFonts w:eastAsia="Arial" w:cs="Times New Roman"/>
          <w:szCs w:val="24"/>
          <w:lang w:eastAsia="cs-CZ"/>
        </w:rPr>
        <w:t> </w:t>
      </w:r>
      <w:r w:rsidRPr="003E6AE3">
        <w:rPr>
          <w:rFonts w:eastAsia="Arial" w:cs="Times New Roman"/>
          <w:szCs w:val="24"/>
          <w:lang w:eastAsia="cs-CZ"/>
        </w:rPr>
        <w:t xml:space="preserve">věcí. </w:t>
      </w:r>
    </w:p>
    <w:p w14:paraId="4B7D81ED" w14:textId="77777777" w:rsidR="00643CE7" w:rsidRPr="003E6AE3" w:rsidRDefault="00643CE7"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 xml:space="preserve">(2) Osoba, jíž byla věc zajištěna, má právo kdykoliv po právní moci usnesení o zajištění žádat o zrušení nebo omezení zajištění. O takové žádosti je třeba neodkladně rozhodnout. Byla-li žádost zamítnuta, může ji tato osoba, neuvede-li nové důvody, opakovat až po uplynutí 30 dnů od právní moci rozhodnutí. </w:t>
      </w:r>
    </w:p>
    <w:p w14:paraId="28EE42A8" w14:textId="5524BBB3" w:rsidR="00643CE7" w:rsidRPr="003E6AE3" w:rsidRDefault="00643CE7"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 xml:space="preserve">(3) </w:t>
      </w:r>
      <w:r w:rsidRPr="003E6AE3">
        <w:rPr>
          <w:rFonts w:eastAsia="Arial" w:cs="Times New Roman"/>
          <w:strike/>
          <w:szCs w:val="24"/>
          <w:lang w:eastAsia="cs-CZ"/>
        </w:rPr>
        <w:t>O zrušení nebo omezení zajištění rozhoduje</w:t>
      </w:r>
      <w:r w:rsidRPr="003E6AE3">
        <w:rPr>
          <w:rFonts w:eastAsia="Arial" w:cs="Times New Roman"/>
          <w:szCs w:val="24"/>
          <w:lang w:eastAsia="cs-CZ"/>
        </w:rPr>
        <w:t xml:space="preserve"> </w:t>
      </w:r>
      <w:r w:rsidRPr="003E6AE3">
        <w:rPr>
          <w:rFonts w:eastAsia="Arial" w:cs="Times New Roman"/>
          <w:b/>
          <w:szCs w:val="24"/>
          <w:lang w:eastAsia="cs-CZ"/>
        </w:rPr>
        <w:t xml:space="preserve">Rozhodnutí podle odstavců 1 a 2 činí </w:t>
      </w:r>
      <w:r w:rsidRPr="003E6AE3">
        <w:rPr>
          <w:rFonts w:eastAsia="Arial" w:cs="Times New Roman"/>
          <w:szCs w:val="24"/>
          <w:lang w:eastAsia="cs-CZ"/>
        </w:rPr>
        <w:t>předseda senátu a v</w:t>
      </w:r>
      <w:r w:rsidR="008C19D9" w:rsidRPr="003E6AE3">
        <w:rPr>
          <w:rFonts w:eastAsia="Arial" w:cs="Times New Roman"/>
          <w:szCs w:val="24"/>
          <w:lang w:eastAsia="cs-CZ"/>
        </w:rPr>
        <w:t> </w:t>
      </w:r>
      <w:r w:rsidRPr="003E6AE3">
        <w:rPr>
          <w:rFonts w:eastAsia="Arial" w:cs="Times New Roman"/>
          <w:szCs w:val="24"/>
          <w:lang w:eastAsia="cs-CZ"/>
        </w:rPr>
        <w:t>přípravném řízení státní zástupce nebo s</w:t>
      </w:r>
      <w:r w:rsidR="008C19D9" w:rsidRPr="003E6AE3">
        <w:rPr>
          <w:rFonts w:eastAsia="Arial" w:cs="Times New Roman"/>
          <w:szCs w:val="24"/>
          <w:lang w:eastAsia="cs-CZ"/>
        </w:rPr>
        <w:t> </w:t>
      </w:r>
      <w:r w:rsidRPr="003E6AE3">
        <w:rPr>
          <w:rFonts w:eastAsia="Arial" w:cs="Times New Roman"/>
          <w:szCs w:val="24"/>
          <w:lang w:eastAsia="cs-CZ"/>
        </w:rPr>
        <w:t xml:space="preserve">jeho předchozím souhlasem policejní orgán. </w:t>
      </w:r>
    </w:p>
    <w:p w14:paraId="577FED8A" w14:textId="77777777" w:rsidR="00643CE7" w:rsidRPr="003E6AE3" w:rsidRDefault="00643CE7"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 xml:space="preserve">(4) Proti rozhodnutí o zrušení nebo omezení zajištění je přípustná stížnost, která má odkladný účinek. </w:t>
      </w:r>
    </w:p>
    <w:p w14:paraId="61C89E0C" w14:textId="5BBA2627" w:rsidR="00643CE7" w:rsidRPr="003E6AE3" w:rsidRDefault="00643CE7"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(5) Pravomocné zkrácené rozhodnutí o zrušení nebo omezení zajištění bez odůvodnění se doručí orgánům a osobám, kterým bylo doručeno rozhodnutí o zajištění. Orgány a osoby, které byly o rozhodnutí o zajištění vyrozuměny, je třeba vyrozumět i o rozhodnutí uvedeném ve větě první; o omezení zajištění se vyrozumí jen ty z</w:t>
      </w:r>
      <w:r w:rsidR="008C19D9" w:rsidRPr="003E6AE3">
        <w:rPr>
          <w:rFonts w:eastAsia="Arial" w:cs="Times New Roman"/>
          <w:szCs w:val="24"/>
          <w:lang w:eastAsia="cs-CZ"/>
        </w:rPr>
        <w:t> </w:t>
      </w:r>
      <w:r w:rsidRPr="003E6AE3">
        <w:rPr>
          <w:rFonts w:eastAsia="Arial" w:cs="Times New Roman"/>
          <w:szCs w:val="24"/>
          <w:lang w:eastAsia="cs-CZ"/>
        </w:rPr>
        <w:t>nich, kterých se omezení týká.</w:t>
      </w:r>
    </w:p>
    <w:p w14:paraId="5C7781E7" w14:textId="77777777" w:rsidR="00325A81" w:rsidRPr="003E6AE3" w:rsidRDefault="00325A81" w:rsidP="008E1253">
      <w:pPr>
        <w:keepNext/>
        <w:spacing w:line="240" w:lineRule="auto"/>
        <w:jc w:val="center"/>
        <w:outlineLvl w:val="1"/>
        <w:rPr>
          <w:rFonts w:eastAsia="Arial" w:cs="Times New Roman"/>
          <w:bCs/>
          <w:szCs w:val="24"/>
          <w:lang w:eastAsia="cs-CZ"/>
        </w:rPr>
      </w:pPr>
      <w:bookmarkStart w:id="20" w:name="_Hlk146283090"/>
      <w:r w:rsidRPr="003E6AE3">
        <w:rPr>
          <w:rFonts w:eastAsia="Arial" w:cs="Times New Roman"/>
          <w:szCs w:val="24"/>
          <w:lang w:eastAsia="cs-CZ"/>
        </w:rPr>
        <w:t>§ 81a</w:t>
      </w:r>
    </w:p>
    <w:p w14:paraId="6E2A010F" w14:textId="7171E02F" w:rsidR="00325A81" w:rsidRPr="003E6AE3" w:rsidRDefault="0001199F" w:rsidP="008E1253">
      <w:pPr>
        <w:spacing w:line="240" w:lineRule="auto"/>
        <w:ind w:firstLine="426"/>
        <w:rPr>
          <w:rFonts w:eastAsia="Arial" w:cs="Times New Roman"/>
          <w:szCs w:val="24"/>
          <w:lang w:eastAsia="cs-CZ"/>
        </w:rPr>
      </w:pPr>
      <w:r w:rsidRPr="003E6AE3">
        <w:rPr>
          <w:rFonts w:eastAsia="Arial" w:cs="Times New Roman"/>
          <w:b/>
          <w:bCs/>
          <w:szCs w:val="24"/>
          <w:lang w:eastAsia="cs-CZ"/>
        </w:rPr>
        <w:t xml:space="preserve">(1) </w:t>
      </w:r>
      <w:r w:rsidR="00325A81" w:rsidRPr="003E6AE3">
        <w:rPr>
          <w:rFonts w:eastAsia="Arial" w:cs="Times New Roman"/>
          <w:szCs w:val="24"/>
          <w:lang w:eastAsia="cs-CZ"/>
        </w:rPr>
        <w:t xml:space="preserve">Na postup při vrácení </w:t>
      </w:r>
      <w:r w:rsidR="00325A81" w:rsidRPr="003E6AE3">
        <w:rPr>
          <w:rFonts w:eastAsia="Arial" w:cs="Times New Roman"/>
          <w:strike/>
          <w:szCs w:val="24"/>
          <w:lang w:eastAsia="cs-CZ"/>
        </w:rPr>
        <w:t>nemovitých věcí a</w:t>
      </w:r>
      <w:r w:rsidR="00325A81" w:rsidRPr="003E6AE3">
        <w:rPr>
          <w:rFonts w:eastAsia="Arial" w:cs="Times New Roman"/>
          <w:szCs w:val="24"/>
          <w:lang w:eastAsia="cs-CZ"/>
        </w:rPr>
        <w:t xml:space="preserve"> nehmotných věcí, které byly zajištěny podle § 79a a při dalším nakládání s nimi, jakož i na postup při vrácení náhradní hodnoty, která byla zajištěna podle § 79g, a při dalším nakládání s ní, se přiměřeně užijí § 80 a 81.</w:t>
      </w:r>
    </w:p>
    <w:p w14:paraId="6B514F95" w14:textId="6AADA6B9" w:rsidR="0001199F" w:rsidRPr="003E6AE3" w:rsidRDefault="0001199F" w:rsidP="008E1253">
      <w:pPr>
        <w:spacing w:line="240" w:lineRule="auto"/>
        <w:ind w:firstLine="425"/>
        <w:rPr>
          <w:rFonts w:eastAsia="Times New Roman" w:cs="Times New Roman"/>
          <w:b/>
          <w:szCs w:val="24"/>
        </w:rPr>
      </w:pPr>
      <w:bookmarkStart w:id="21" w:name="_Hlk181108488"/>
      <w:r w:rsidRPr="003E6AE3">
        <w:rPr>
          <w:rFonts w:cs="Times New Roman"/>
          <w:b/>
          <w:szCs w:val="24"/>
        </w:rPr>
        <w:t xml:space="preserve">(2) Předseda senátu a v přípravném řízení státní zástupce nebo policejní orgán může </w:t>
      </w:r>
      <w:r w:rsidRPr="003E6AE3">
        <w:rPr>
          <w:rFonts w:eastAsia="Times New Roman" w:cs="Times New Roman"/>
          <w:b/>
          <w:szCs w:val="24"/>
        </w:rPr>
        <w:t xml:space="preserve">rozhodnout o poměrném </w:t>
      </w:r>
      <w:r w:rsidRPr="003E6AE3">
        <w:rPr>
          <w:rFonts w:cs="Times New Roman"/>
          <w:b/>
          <w:szCs w:val="24"/>
        </w:rPr>
        <w:t xml:space="preserve">rozdělení peněžních prostředků </w:t>
      </w:r>
      <w:r w:rsidRPr="003E6AE3">
        <w:rPr>
          <w:rFonts w:eastAsia="Times New Roman" w:cs="Times New Roman"/>
          <w:b/>
          <w:szCs w:val="24"/>
        </w:rPr>
        <w:t xml:space="preserve">poškozeným podle výše jejich nároků na jejich vydání, pokud </w:t>
      </w:r>
    </w:p>
    <w:p w14:paraId="2966E58A" w14:textId="77777777" w:rsidR="0001199F" w:rsidRPr="003E6AE3" w:rsidRDefault="0001199F" w:rsidP="008E1253">
      <w:pPr>
        <w:spacing w:line="240" w:lineRule="auto"/>
        <w:ind w:left="284" w:hanging="284"/>
        <w:rPr>
          <w:rFonts w:cs="Times New Roman"/>
          <w:b/>
          <w:szCs w:val="24"/>
        </w:rPr>
      </w:pPr>
      <w:r w:rsidRPr="003E6AE3">
        <w:rPr>
          <w:rFonts w:eastAsia="Times New Roman" w:cs="Times New Roman"/>
          <w:b/>
          <w:szCs w:val="24"/>
        </w:rPr>
        <w:t xml:space="preserve">a) peněžní prostředky poškozených </w:t>
      </w:r>
      <w:r w:rsidRPr="003E6AE3">
        <w:rPr>
          <w:rFonts w:cs="Times New Roman"/>
          <w:b/>
          <w:szCs w:val="24"/>
        </w:rPr>
        <w:t>získané trestným činem, pro který se vede trestní řízení,</w:t>
      </w:r>
      <w:r w:rsidRPr="003E6AE3">
        <w:rPr>
          <w:rFonts w:eastAsia="Times New Roman" w:cs="Times New Roman"/>
          <w:b/>
          <w:szCs w:val="24"/>
        </w:rPr>
        <w:t xml:space="preserve"> byly zajištěny j</w:t>
      </w:r>
      <w:r w:rsidRPr="003E6AE3">
        <w:rPr>
          <w:rFonts w:cs="Times New Roman"/>
          <w:b/>
          <w:szCs w:val="24"/>
        </w:rPr>
        <w:t xml:space="preserve">ako výnos z trestné činnosti na účtu, na který byly zaslány poškozenými nebo z jejich účtu, </w:t>
      </w:r>
      <w:bookmarkStart w:id="22" w:name="_Hlk150502817"/>
    </w:p>
    <w:p w14:paraId="6B80B3E0" w14:textId="77777777" w:rsidR="0001199F" w:rsidRPr="003E6AE3" w:rsidRDefault="0001199F" w:rsidP="008E1253">
      <w:pPr>
        <w:spacing w:line="240" w:lineRule="auto"/>
        <w:ind w:left="284" w:hanging="284"/>
        <w:rPr>
          <w:rFonts w:eastAsia="Times New Roman" w:cs="Times New Roman"/>
          <w:b/>
          <w:szCs w:val="24"/>
        </w:rPr>
      </w:pPr>
      <w:r w:rsidRPr="003E6AE3">
        <w:rPr>
          <w:rFonts w:eastAsia="Times New Roman" w:cs="Times New Roman"/>
          <w:b/>
          <w:szCs w:val="24"/>
        </w:rPr>
        <w:t xml:space="preserve">b) právo na vydání peněžních prostředků uplatňuje více poškozených, o jejich právu není pochyb a výše peněžních prostředků nepostačuje k plnému uspokojení uplatněných práv poškozených, </w:t>
      </w:r>
    </w:p>
    <w:p w14:paraId="438182EC" w14:textId="77777777" w:rsidR="0001199F" w:rsidRPr="003E6AE3" w:rsidRDefault="0001199F" w:rsidP="008E1253">
      <w:pPr>
        <w:spacing w:line="240" w:lineRule="auto"/>
        <w:ind w:left="284" w:hanging="284"/>
        <w:rPr>
          <w:rFonts w:eastAsia="Times New Roman" w:cs="Times New Roman"/>
          <w:b/>
          <w:szCs w:val="24"/>
        </w:rPr>
      </w:pPr>
      <w:r w:rsidRPr="003E6AE3">
        <w:rPr>
          <w:rFonts w:eastAsia="Times New Roman" w:cs="Times New Roman"/>
          <w:b/>
          <w:szCs w:val="24"/>
        </w:rPr>
        <w:t xml:space="preserve">c) poškození, kteří v trestním řízení uplatnili své právo na vydání peněžních prostředků, s tímto postupem souhlasí a </w:t>
      </w:r>
    </w:p>
    <w:p w14:paraId="5A887CF6" w14:textId="77777777" w:rsidR="0001199F" w:rsidRPr="003E6AE3" w:rsidRDefault="0001199F" w:rsidP="008E1253">
      <w:pPr>
        <w:spacing w:line="240" w:lineRule="auto"/>
        <w:ind w:left="284" w:hanging="284"/>
        <w:rPr>
          <w:rFonts w:eastAsia="Times New Roman" w:cs="Times New Roman"/>
          <w:b/>
          <w:szCs w:val="24"/>
        </w:rPr>
      </w:pPr>
      <w:r w:rsidRPr="003E6AE3">
        <w:rPr>
          <w:rFonts w:eastAsia="Times New Roman" w:cs="Times New Roman"/>
          <w:b/>
          <w:szCs w:val="24"/>
        </w:rPr>
        <w:t xml:space="preserve">d) peněžní prostředky nelze nechat propadnout nebo zabrat v trestním řízení, ani v něm nelze rozhodnout o řádně uplatněném nároku poškozených na náhradu škody nebo vydání bezdůvodného obohacení. </w:t>
      </w:r>
    </w:p>
    <w:bookmarkEnd w:id="22"/>
    <w:p w14:paraId="412ED26B" w14:textId="64B2369F" w:rsidR="0001199F" w:rsidRPr="003E6AE3" w:rsidRDefault="0001199F" w:rsidP="008E1253">
      <w:pPr>
        <w:tabs>
          <w:tab w:val="left" w:pos="426"/>
        </w:tabs>
        <w:spacing w:line="240" w:lineRule="auto"/>
        <w:ind w:firstLine="425"/>
        <w:rPr>
          <w:rFonts w:eastAsia="Times New Roman" w:cs="Times New Roman"/>
          <w:b/>
          <w:szCs w:val="24"/>
        </w:rPr>
      </w:pPr>
      <w:r w:rsidRPr="003E6AE3">
        <w:rPr>
          <w:rFonts w:eastAsia="Times New Roman" w:cs="Times New Roman"/>
          <w:b/>
          <w:szCs w:val="24"/>
        </w:rPr>
        <w:t>(3) Peněžní prostředky se poměrně rozdělí podle odstavce 2, pokud alespoň na</w:t>
      </w:r>
      <w:r w:rsidR="00EE1DDF">
        <w:rPr>
          <w:rFonts w:eastAsia="Times New Roman" w:cs="Times New Roman"/>
          <w:b/>
          <w:szCs w:val="24"/>
        </w:rPr>
        <w:t> </w:t>
      </w:r>
      <w:r w:rsidRPr="003E6AE3">
        <w:rPr>
          <w:rFonts w:eastAsia="Times New Roman" w:cs="Times New Roman"/>
          <w:b/>
          <w:szCs w:val="24"/>
        </w:rPr>
        <w:t xml:space="preserve">jednoho poškozeného připadá částka přesahující 100 Kč. </w:t>
      </w:r>
    </w:p>
    <w:p w14:paraId="3B0FC837" w14:textId="5AC96212" w:rsidR="0001199F" w:rsidRPr="003E6AE3" w:rsidRDefault="0001199F" w:rsidP="008E1253">
      <w:pPr>
        <w:tabs>
          <w:tab w:val="left" w:pos="426"/>
        </w:tabs>
        <w:spacing w:line="240" w:lineRule="auto"/>
        <w:ind w:firstLine="425"/>
        <w:rPr>
          <w:rFonts w:eastAsia="Aptos" w:cs="Times New Roman"/>
          <w:b/>
          <w:szCs w:val="24"/>
        </w:rPr>
      </w:pPr>
      <w:r w:rsidRPr="003E6AE3">
        <w:rPr>
          <w:rFonts w:cs="Times New Roman"/>
          <w:b/>
          <w:szCs w:val="24"/>
        </w:rPr>
        <w:t xml:space="preserve">(4) Proti rozhodnutí podle odstavce 2 je přípustná stížnost, </w:t>
      </w:r>
      <w:r w:rsidR="00D22270">
        <w:rPr>
          <w:rFonts w:cs="Times New Roman"/>
          <w:b/>
          <w:szCs w:val="24"/>
        </w:rPr>
        <w:t>která</w:t>
      </w:r>
      <w:r w:rsidR="00D22270" w:rsidRPr="003E6AE3">
        <w:rPr>
          <w:rFonts w:cs="Times New Roman"/>
          <w:b/>
          <w:szCs w:val="24"/>
        </w:rPr>
        <w:t xml:space="preserve"> </w:t>
      </w:r>
      <w:r w:rsidRPr="003E6AE3">
        <w:rPr>
          <w:rFonts w:cs="Times New Roman"/>
          <w:b/>
          <w:szCs w:val="24"/>
        </w:rPr>
        <w:t>má odkladný účinek.</w:t>
      </w:r>
      <w:bookmarkEnd w:id="21"/>
    </w:p>
    <w:p w14:paraId="02BF1CBB" w14:textId="193A570B" w:rsidR="00643CE7" w:rsidRPr="003E6AE3" w:rsidRDefault="00643CE7" w:rsidP="008E1253">
      <w:pPr>
        <w:keepNext/>
        <w:spacing w:line="240" w:lineRule="auto"/>
        <w:jc w:val="center"/>
        <w:outlineLvl w:val="1"/>
        <w:rPr>
          <w:rFonts w:eastAsia="Arial" w:cs="Times New Roman"/>
          <w:bCs/>
          <w:szCs w:val="24"/>
        </w:rPr>
      </w:pPr>
      <w:r w:rsidRPr="003E6AE3">
        <w:rPr>
          <w:rFonts w:eastAsia="Arial" w:cs="Times New Roman"/>
          <w:szCs w:val="24"/>
        </w:rPr>
        <w:t>§ 81b</w:t>
      </w:r>
    </w:p>
    <w:bookmarkEnd w:id="20"/>
    <w:p w14:paraId="78BDDEF6" w14:textId="4E938611" w:rsidR="00643CE7" w:rsidRPr="003E6AE3" w:rsidRDefault="00643CE7" w:rsidP="008E1253">
      <w:pPr>
        <w:suppressAutoHyphens/>
        <w:autoSpaceDN w:val="0"/>
        <w:spacing w:line="240" w:lineRule="auto"/>
        <w:ind w:firstLine="425"/>
        <w:textAlignment w:val="baseline"/>
        <w:rPr>
          <w:rFonts w:eastAsia="Calibri" w:cs="Times New Roman"/>
          <w:szCs w:val="24"/>
        </w:rPr>
      </w:pPr>
      <w:r w:rsidRPr="003E6AE3">
        <w:rPr>
          <w:rFonts w:eastAsia="Calibri" w:cs="Times New Roman"/>
          <w:strike/>
          <w:szCs w:val="24"/>
        </w:rPr>
        <w:t>(1) Byla-li vydána nebo odňata věc, která ohrožuje bezpečnost lidí nebo majetku, zejména omamná látka, psychotropní látka, přípravek obsahující omamnou nebo psychotropní látku, prekursor, jed, jaderný materiál nebo radioaktivní látka, ze které byl odebrán přiměřený vzorek, a takové věci již není třeba za účelem provedení důkazu, zejména nejsou-li pochybnosti o totožnosti vzorku věci a jejího celku a o celkovém množství věci, může předseda senátu a v</w:t>
      </w:r>
      <w:r w:rsidR="008C19D9" w:rsidRPr="003E6AE3">
        <w:rPr>
          <w:rFonts w:eastAsia="Calibri" w:cs="Times New Roman"/>
          <w:strike/>
          <w:szCs w:val="24"/>
        </w:rPr>
        <w:t> </w:t>
      </w:r>
      <w:r w:rsidRPr="003E6AE3">
        <w:rPr>
          <w:rFonts w:eastAsia="Calibri" w:cs="Times New Roman"/>
          <w:strike/>
          <w:szCs w:val="24"/>
        </w:rPr>
        <w:t>přípravném řízení státní zástupce rozhodnout o jejím zničení již v</w:t>
      </w:r>
      <w:r w:rsidR="008C19D9" w:rsidRPr="003E6AE3">
        <w:rPr>
          <w:rFonts w:eastAsia="Calibri" w:cs="Times New Roman"/>
          <w:strike/>
          <w:szCs w:val="24"/>
        </w:rPr>
        <w:t> </w:t>
      </w:r>
      <w:r w:rsidRPr="003E6AE3">
        <w:rPr>
          <w:rFonts w:eastAsia="Calibri" w:cs="Times New Roman"/>
          <w:strike/>
          <w:szCs w:val="24"/>
        </w:rPr>
        <w:t>průběhu trestního řízení, pokud takové věci již není k</w:t>
      </w:r>
      <w:r w:rsidR="008C19D9" w:rsidRPr="003E6AE3">
        <w:rPr>
          <w:rFonts w:eastAsia="Calibri" w:cs="Times New Roman"/>
          <w:strike/>
          <w:szCs w:val="24"/>
        </w:rPr>
        <w:t> </w:t>
      </w:r>
      <w:r w:rsidRPr="003E6AE3">
        <w:rPr>
          <w:rFonts w:eastAsia="Calibri" w:cs="Times New Roman"/>
          <w:strike/>
          <w:szCs w:val="24"/>
        </w:rPr>
        <w:t xml:space="preserve">dalšímu řízení třeba a nelze-li ji vrátit podle § 80, nebo není známo, komu taková věc patří, anebo není znám pobyt poškozeného. </w:t>
      </w:r>
    </w:p>
    <w:p w14:paraId="271F89F1" w14:textId="69F02FAF" w:rsidR="00643CE7" w:rsidRPr="003E6AE3" w:rsidRDefault="00643CE7" w:rsidP="008E1253">
      <w:pPr>
        <w:suppressAutoHyphens/>
        <w:autoSpaceDN w:val="0"/>
        <w:spacing w:line="240" w:lineRule="auto"/>
        <w:ind w:firstLine="425"/>
        <w:textAlignment w:val="baseline"/>
        <w:rPr>
          <w:rFonts w:eastAsia="Calibri" w:cs="Times New Roman"/>
          <w:b/>
          <w:bCs/>
          <w:szCs w:val="24"/>
        </w:rPr>
      </w:pPr>
      <w:r w:rsidRPr="003E6AE3">
        <w:rPr>
          <w:rFonts w:eastAsia="Calibri" w:cs="Times New Roman"/>
          <w:b/>
          <w:szCs w:val="24"/>
        </w:rPr>
        <w:t>(1) Byla-li vydána nebo odňata věc, která ohrožuje bezpečnost lidí nebo majetku, nebo věc, jejíž držení je v</w:t>
      </w:r>
      <w:r w:rsidR="008C19D9" w:rsidRPr="003E6AE3">
        <w:rPr>
          <w:rFonts w:eastAsia="Calibri" w:cs="Times New Roman"/>
          <w:b/>
          <w:szCs w:val="24"/>
        </w:rPr>
        <w:t> </w:t>
      </w:r>
      <w:r w:rsidRPr="003E6AE3">
        <w:rPr>
          <w:rFonts w:eastAsia="Calibri" w:cs="Times New Roman"/>
          <w:b/>
          <w:szCs w:val="24"/>
        </w:rPr>
        <w:t>rozporu s</w:t>
      </w:r>
      <w:r w:rsidR="008C19D9" w:rsidRPr="003E6AE3">
        <w:rPr>
          <w:rFonts w:eastAsia="Calibri" w:cs="Times New Roman"/>
          <w:b/>
          <w:szCs w:val="24"/>
        </w:rPr>
        <w:t> </w:t>
      </w:r>
      <w:r w:rsidRPr="003E6AE3">
        <w:rPr>
          <w:rFonts w:eastAsia="Calibri" w:cs="Times New Roman"/>
          <w:b/>
          <w:szCs w:val="24"/>
        </w:rPr>
        <w:t>jinými právními předpisy a jejíž úschova vyžaduje zvláštní podmínky nebo zvláštní odbornou způsobilost, které lze zajistit jen s</w:t>
      </w:r>
      <w:r w:rsidR="008C19D9" w:rsidRPr="003E6AE3">
        <w:rPr>
          <w:rFonts w:eastAsia="Calibri" w:cs="Times New Roman"/>
          <w:b/>
          <w:szCs w:val="24"/>
        </w:rPr>
        <w:t> </w:t>
      </w:r>
      <w:r w:rsidRPr="003E6AE3">
        <w:rPr>
          <w:rFonts w:eastAsia="Calibri" w:cs="Times New Roman"/>
          <w:b/>
          <w:szCs w:val="24"/>
        </w:rPr>
        <w:t>nepřiměřenými obtížemi, anebo jejíž úschova je spojena s</w:t>
      </w:r>
      <w:r w:rsidR="008C19D9" w:rsidRPr="003E6AE3">
        <w:rPr>
          <w:rFonts w:eastAsia="Calibri" w:cs="Times New Roman"/>
          <w:b/>
          <w:szCs w:val="24"/>
        </w:rPr>
        <w:t> </w:t>
      </w:r>
      <w:r w:rsidRPr="003E6AE3">
        <w:rPr>
          <w:rFonts w:eastAsia="Calibri" w:cs="Times New Roman"/>
          <w:b/>
          <w:szCs w:val="24"/>
        </w:rPr>
        <w:t>nepřiměřenými náklady, z</w:t>
      </w:r>
      <w:r w:rsidR="008C19D9" w:rsidRPr="003E6AE3">
        <w:rPr>
          <w:rFonts w:eastAsia="Calibri" w:cs="Times New Roman"/>
          <w:b/>
          <w:szCs w:val="24"/>
        </w:rPr>
        <w:t> </w:t>
      </w:r>
      <w:r w:rsidRPr="003E6AE3">
        <w:rPr>
          <w:rFonts w:eastAsia="Calibri" w:cs="Times New Roman"/>
          <w:b/>
          <w:szCs w:val="24"/>
        </w:rPr>
        <w:t>takové vydané nebo odňaté věci byl odebrán přiměřený vzorek a již jí není třeba za účelem provedení důkazu, zejména nejsou-li pochybnosti o totožnosti vzorku věci a jejího celku a o celkovém množství věci, může předseda senátu a v</w:t>
      </w:r>
      <w:r w:rsidR="008C19D9" w:rsidRPr="003E6AE3">
        <w:rPr>
          <w:rFonts w:eastAsia="Calibri" w:cs="Times New Roman"/>
          <w:b/>
          <w:szCs w:val="24"/>
        </w:rPr>
        <w:t> </w:t>
      </w:r>
      <w:r w:rsidRPr="003E6AE3">
        <w:rPr>
          <w:rFonts w:eastAsia="Calibri" w:cs="Times New Roman"/>
          <w:b/>
          <w:szCs w:val="24"/>
        </w:rPr>
        <w:t>přípravném řízení státní zástupce rozhodnout o</w:t>
      </w:r>
      <w:r w:rsidR="00EE1DDF">
        <w:rPr>
          <w:rFonts w:eastAsia="Calibri" w:cs="Times New Roman"/>
          <w:b/>
          <w:szCs w:val="24"/>
        </w:rPr>
        <w:t> </w:t>
      </w:r>
      <w:r w:rsidRPr="003E6AE3">
        <w:rPr>
          <w:rFonts w:eastAsia="Calibri" w:cs="Times New Roman"/>
          <w:b/>
          <w:szCs w:val="24"/>
        </w:rPr>
        <w:t>jejím zničení již v</w:t>
      </w:r>
      <w:r w:rsidR="008C19D9" w:rsidRPr="003E6AE3">
        <w:rPr>
          <w:rFonts w:eastAsia="Calibri" w:cs="Times New Roman"/>
          <w:b/>
          <w:szCs w:val="24"/>
        </w:rPr>
        <w:t> </w:t>
      </w:r>
      <w:r w:rsidRPr="003E6AE3">
        <w:rPr>
          <w:rFonts w:eastAsia="Calibri" w:cs="Times New Roman"/>
          <w:b/>
          <w:szCs w:val="24"/>
        </w:rPr>
        <w:t>průběhu trestního řízení, pokud takové věci není k</w:t>
      </w:r>
      <w:r w:rsidR="008C19D9" w:rsidRPr="003E6AE3">
        <w:rPr>
          <w:rFonts w:eastAsia="Calibri" w:cs="Times New Roman"/>
          <w:b/>
          <w:szCs w:val="24"/>
        </w:rPr>
        <w:t> </w:t>
      </w:r>
      <w:r w:rsidRPr="003E6AE3">
        <w:rPr>
          <w:rFonts w:eastAsia="Calibri" w:cs="Times New Roman"/>
          <w:b/>
          <w:szCs w:val="24"/>
        </w:rPr>
        <w:t xml:space="preserve">dalšímu řízení třeba a nelze-li ji vrátit podle § 80, nebo není známo, komu taková věc patří, anebo není znám pobyt poškozeného. Věcí, která ohrožuje bezpečnost lidí nebo majetku, se pro účely věty první rozumí zejména omamná látka, psychotropní látka, přípravek obsahující omamnou nebo psychotropní látku, jed, </w:t>
      </w:r>
      <w:r w:rsidR="007C52D1" w:rsidRPr="00E9139B">
        <w:rPr>
          <w:b/>
        </w:rPr>
        <w:t>rtuť, sloučenina rtuti, směs rtuti,</w:t>
      </w:r>
      <w:r w:rsidR="007C52D1">
        <w:rPr>
          <w:b/>
        </w:rPr>
        <w:t xml:space="preserve"> </w:t>
      </w:r>
      <w:r w:rsidRPr="003E6AE3">
        <w:rPr>
          <w:rFonts w:eastAsia="Calibri" w:cs="Times New Roman"/>
          <w:b/>
          <w:szCs w:val="24"/>
        </w:rPr>
        <w:t>prekursor nebo jiný předmět určený k</w:t>
      </w:r>
      <w:r w:rsidR="008C19D9" w:rsidRPr="003E6AE3">
        <w:rPr>
          <w:rFonts w:eastAsia="Calibri" w:cs="Times New Roman"/>
          <w:b/>
          <w:szCs w:val="24"/>
        </w:rPr>
        <w:t> </w:t>
      </w:r>
      <w:r w:rsidRPr="003E6AE3">
        <w:rPr>
          <w:rFonts w:eastAsia="Calibri" w:cs="Times New Roman"/>
          <w:b/>
          <w:szCs w:val="24"/>
        </w:rPr>
        <w:t>nedovolené výrobě omamné nebo psychotropní látky nebo přípravku obsahujícího takovou látku anebo jedu, jaderný materiál nebo radioaktivní látka. Výkon rozhodnutí o</w:t>
      </w:r>
      <w:r w:rsidR="00EE1DDF">
        <w:rPr>
          <w:rFonts w:eastAsia="Calibri" w:cs="Times New Roman"/>
          <w:b/>
          <w:szCs w:val="24"/>
        </w:rPr>
        <w:t> </w:t>
      </w:r>
      <w:r w:rsidRPr="003E6AE3">
        <w:rPr>
          <w:rFonts w:eastAsia="Calibri" w:cs="Times New Roman"/>
          <w:b/>
          <w:szCs w:val="24"/>
        </w:rPr>
        <w:t>zničení věci zajistí orgán činný v</w:t>
      </w:r>
      <w:r w:rsidR="008C19D9" w:rsidRPr="003E6AE3">
        <w:rPr>
          <w:rFonts w:eastAsia="Calibri" w:cs="Times New Roman"/>
          <w:b/>
          <w:szCs w:val="24"/>
        </w:rPr>
        <w:t> </w:t>
      </w:r>
      <w:r w:rsidRPr="003E6AE3">
        <w:rPr>
          <w:rFonts w:eastAsia="Calibri" w:cs="Times New Roman"/>
          <w:b/>
          <w:szCs w:val="24"/>
        </w:rPr>
        <w:t>trestním řízení, který má věc, která má být zničena, v</w:t>
      </w:r>
      <w:r w:rsidR="008C19D9" w:rsidRPr="003E6AE3">
        <w:rPr>
          <w:rFonts w:eastAsia="Calibri" w:cs="Times New Roman"/>
          <w:b/>
          <w:szCs w:val="24"/>
        </w:rPr>
        <w:t> </w:t>
      </w:r>
      <w:r w:rsidRPr="003E6AE3">
        <w:rPr>
          <w:rFonts w:eastAsia="Calibri" w:cs="Times New Roman"/>
          <w:b/>
          <w:szCs w:val="24"/>
        </w:rPr>
        <w:t>úschově, nebo na pokyn orgánu činného v</w:t>
      </w:r>
      <w:r w:rsidR="008C19D9" w:rsidRPr="003E6AE3">
        <w:rPr>
          <w:rFonts w:eastAsia="Calibri" w:cs="Times New Roman"/>
          <w:b/>
          <w:szCs w:val="24"/>
        </w:rPr>
        <w:t> </w:t>
      </w:r>
      <w:r w:rsidRPr="003E6AE3">
        <w:rPr>
          <w:rFonts w:eastAsia="Calibri" w:cs="Times New Roman"/>
          <w:b/>
          <w:szCs w:val="24"/>
        </w:rPr>
        <w:t>trestním řízení ten, kdo věc spravuje podle zákona upravujícího správu majetku zajištěného v</w:t>
      </w:r>
      <w:r w:rsidR="008C19D9" w:rsidRPr="003E6AE3">
        <w:rPr>
          <w:rFonts w:eastAsia="Calibri" w:cs="Times New Roman"/>
          <w:b/>
          <w:szCs w:val="24"/>
        </w:rPr>
        <w:t> </w:t>
      </w:r>
      <w:r w:rsidRPr="003E6AE3">
        <w:rPr>
          <w:rFonts w:eastAsia="Calibri" w:cs="Times New Roman"/>
          <w:b/>
          <w:szCs w:val="24"/>
        </w:rPr>
        <w:t>trestním řízení.</w:t>
      </w:r>
    </w:p>
    <w:p w14:paraId="7FFBB5CB" w14:textId="7F8CC867" w:rsidR="00643CE7" w:rsidRPr="003E6AE3" w:rsidRDefault="00643CE7" w:rsidP="008E1253">
      <w:pPr>
        <w:tabs>
          <w:tab w:val="left" w:pos="426"/>
        </w:tabs>
        <w:spacing w:line="240" w:lineRule="auto"/>
        <w:ind w:firstLine="425"/>
        <w:rPr>
          <w:rFonts w:eastAsia="Calibri" w:cs="Times New Roman"/>
          <w:szCs w:val="24"/>
        </w:rPr>
      </w:pPr>
      <w:r w:rsidRPr="003E6AE3">
        <w:rPr>
          <w:rFonts w:eastAsia="Calibri" w:cs="Times New Roman"/>
          <w:szCs w:val="24"/>
        </w:rPr>
        <w:tab/>
        <w:t>(2) Byl-li vydán nebo odňat exemplář rostliny nebo živočicha, regulovaná kožešina nebo výrobek z</w:t>
      </w:r>
      <w:r w:rsidR="008C19D9" w:rsidRPr="003E6AE3">
        <w:rPr>
          <w:rFonts w:eastAsia="Calibri" w:cs="Times New Roman"/>
          <w:szCs w:val="24"/>
        </w:rPr>
        <w:t> </w:t>
      </w:r>
      <w:r w:rsidRPr="003E6AE3">
        <w:rPr>
          <w:rFonts w:eastAsia="Calibri" w:cs="Times New Roman"/>
          <w:szCs w:val="24"/>
        </w:rPr>
        <w:t>tuleně nebo jiný jedinec, které lze zadržet pro účely jejich zabavení podle zákona o obchodování s</w:t>
      </w:r>
      <w:r w:rsidR="008C19D9" w:rsidRPr="003E6AE3">
        <w:rPr>
          <w:rFonts w:eastAsia="Calibri" w:cs="Times New Roman"/>
          <w:szCs w:val="24"/>
        </w:rPr>
        <w:t> </w:t>
      </w:r>
      <w:r w:rsidRPr="003E6AE3">
        <w:rPr>
          <w:rFonts w:eastAsia="Calibri" w:cs="Times New Roman"/>
          <w:szCs w:val="24"/>
        </w:rPr>
        <w:t>ohroženými druhy, nebo jedinec zvláště chráněného druhu rostliny nebo živočicha anebo volně žijícího ptáka, které lze odebrat podle zákona o ochraně přírody a krajiny, a není-li jich třeba pro důkazní účely a nelze-li je vrátit podle § 80, orgán činný v</w:t>
      </w:r>
      <w:r w:rsidR="008C19D9" w:rsidRPr="003E6AE3">
        <w:rPr>
          <w:rFonts w:eastAsia="Calibri" w:cs="Times New Roman"/>
          <w:szCs w:val="24"/>
        </w:rPr>
        <w:t> </w:t>
      </w:r>
      <w:r w:rsidRPr="003E6AE3">
        <w:rPr>
          <w:rFonts w:eastAsia="Calibri" w:cs="Times New Roman"/>
          <w:szCs w:val="24"/>
        </w:rPr>
        <w:t>trestním řízení, kterému byly vydány, nebo který vydal příkaz k</w:t>
      </w:r>
      <w:r w:rsidR="008C19D9" w:rsidRPr="003E6AE3">
        <w:rPr>
          <w:rFonts w:eastAsia="Calibri" w:cs="Times New Roman"/>
          <w:szCs w:val="24"/>
        </w:rPr>
        <w:t> </w:t>
      </w:r>
      <w:r w:rsidRPr="003E6AE3">
        <w:rPr>
          <w:rFonts w:eastAsia="Calibri" w:cs="Times New Roman"/>
          <w:szCs w:val="24"/>
        </w:rPr>
        <w:t>jejich odnětí, je postoupí České inspekci životního prostředí a zajistí jejich předání inspekci, pokud k</w:t>
      </w:r>
      <w:r w:rsidR="008C19D9" w:rsidRPr="003E6AE3">
        <w:rPr>
          <w:rFonts w:eastAsia="Calibri" w:cs="Times New Roman"/>
          <w:szCs w:val="24"/>
        </w:rPr>
        <w:t> </w:t>
      </w:r>
      <w:r w:rsidRPr="003E6AE3">
        <w:rPr>
          <w:rFonts w:eastAsia="Calibri" w:cs="Times New Roman"/>
          <w:szCs w:val="24"/>
        </w:rPr>
        <w:t>němu dosud nedošlo; tím je zajištění ukončeno.</w:t>
      </w:r>
    </w:p>
    <w:p w14:paraId="767A2561" w14:textId="77777777" w:rsidR="00643CE7" w:rsidRDefault="00643CE7" w:rsidP="008E1253">
      <w:pPr>
        <w:tabs>
          <w:tab w:val="left" w:pos="426"/>
        </w:tabs>
        <w:spacing w:line="240" w:lineRule="auto"/>
        <w:ind w:firstLine="425"/>
        <w:rPr>
          <w:rFonts w:eastAsia="Calibri" w:cs="Times New Roman"/>
          <w:szCs w:val="24"/>
        </w:rPr>
      </w:pPr>
      <w:r w:rsidRPr="003E6AE3">
        <w:rPr>
          <w:rFonts w:eastAsia="Calibri" w:cs="Times New Roman"/>
          <w:szCs w:val="24"/>
        </w:rPr>
        <w:tab/>
        <w:t>(3) Proti usnesení podle odstavce 1 je přípustná stížnost, jež má odkladný účinek.</w:t>
      </w:r>
    </w:p>
    <w:p w14:paraId="2AE49301" w14:textId="1CFE1977" w:rsidR="00EE1DDF" w:rsidRPr="003E6AE3" w:rsidRDefault="00C21786" w:rsidP="00C21786">
      <w:pPr>
        <w:tabs>
          <w:tab w:val="left" w:pos="426"/>
        </w:tabs>
        <w:spacing w:line="240" w:lineRule="auto"/>
        <w:jc w:val="center"/>
        <w:rPr>
          <w:rFonts w:eastAsia="Calibri" w:cs="Times New Roman"/>
          <w:szCs w:val="24"/>
        </w:rPr>
      </w:pPr>
      <w:r>
        <w:rPr>
          <w:rFonts w:eastAsia="Calibri" w:cs="Times New Roman"/>
          <w:szCs w:val="24"/>
        </w:rPr>
        <w:t>§ 102</w:t>
      </w:r>
    </w:p>
    <w:p w14:paraId="6EAC8188" w14:textId="5B23A0B4" w:rsidR="00C21786" w:rsidRPr="00C21786" w:rsidRDefault="00C21786" w:rsidP="00C21786">
      <w:pPr>
        <w:keepNext/>
        <w:tabs>
          <w:tab w:val="left" w:pos="426"/>
        </w:tabs>
        <w:spacing w:line="240" w:lineRule="auto"/>
        <w:outlineLvl w:val="1"/>
        <w:rPr>
          <w:rFonts w:eastAsia="Arial" w:cs="Times New Roman"/>
          <w:szCs w:val="24"/>
          <w:lang w:eastAsia="cs-CZ"/>
        </w:rPr>
      </w:pPr>
      <w:bookmarkStart w:id="23" w:name="_Hlk150518998"/>
      <w:r>
        <w:rPr>
          <w:rFonts w:eastAsia="Arial" w:cs="Times New Roman"/>
          <w:szCs w:val="24"/>
          <w:lang w:eastAsia="cs-CZ"/>
        </w:rPr>
        <w:tab/>
      </w:r>
      <w:r w:rsidRPr="00C21786">
        <w:rPr>
          <w:rFonts w:eastAsia="Arial" w:cs="Times New Roman"/>
          <w:szCs w:val="24"/>
          <w:lang w:eastAsia="cs-CZ"/>
        </w:rPr>
        <w:t>(1) Je-li jako svědek vyslýchána osoba mladší než osmnáct let o okolnostech, jejichž oživování v paměti by vzhledem k věku mohlo nepříznivě ovlivňovat její duševní a mravní vývoj, je třeba výslech provádět zvlášť šetrně a po obsahové stránce tak, aby výslech v dalším řízení zpravidla už nebylo třeba opakovat; k výslechu se přibere orgán sociálně-právní ochrany dětí nebo jiná osoba mající zkušenosti s výchovou mládeže, která by se zřetelem na předmět výslechu a stupeň duševního vývoje vyslýchané osoby přispěla k správnému vedení výslechu. Může-li to přispět k správnému provedení výslechu, mohou být přibráni i rodiče. Osoby, které byly takto přibrány, mohou navrhnout odložení úkonu na pozdější dobu a v průběhu provádění takového úkonu navrhnout jeho přerušení nebo ukončení, pokud by provedení úkonu nebo pokračování v něm mělo nepříznivý vliv na psychický stav vyslýchané osoby. Nehrozí-li nebezpečí z prodlení, orgán činný v trestním řízení takovému návrhu vyhoví.</w:t>
      </w:r>
    </w:p>
    <w:p w14:paraId="6AF2346B" w14:textId="3E28AC2B" w:rsidR="00C21786" w:rsidRPr="00C21786" w:rsidRDefault="00C21786" w:rsidP="00C21786">
      <w:pPr>
        <w:keepNext/>
        <w:spacing w:line="240" w:lineRule="auto"/>
        <w:ind w:firstLine="426"/>
        <w:outlineLvl w:val="1"/>
        <w:rPr>
          <w:rFonts w:eastAsia="Arial" w:cs="Times New Roman"/>
          <w:szCs w:val="24"/>
          <w:lang w:eastAsia="cs-CZ"/>
        </w:rPr>
      </w:pPr>
      <w:r w:rsidRPr="00C21786">
        <w:rPr>
          <w:rFonts w:eastAsia="Arial" w:cs="Times New Roman"/>
          <w:szCs w:val="24"/>
          <w:lang w:eastAsia="cs-CZ"/>
        </w:rPr>
        <w:t>(2) V dalším řízení má být taková osoba vyslechnuta znovu jen v nutných případech. V</w:t>
      </w:r>
      <w:r w:rsidR="00667C83">
        <w:rPr>
          <w:rFonts w:eastAsia="Arial" w:cs="Times New Roman"/>
          <w:szCs w:val="24"/>
          <w:lang w:eastAsia="cs-CZ"/>
        </w:rPr>
        <w:t> </w:t>
      </w:r>
      <w:r w:rsidRPr="00C21786">
        <w:rPr>
          <w:rFonts w:eastAsia="Arial" w:cs="Times New Roman"/>
          <w:szCs w:val="24"/>
          <w:lang w:eastAsia="cs-CZ"/>
        </w:rPr>
        <w:t xml:space="preserve">řízení před soudem je možno na podkladě rozhodnutí soudu provést důkaz přečtením protokolu nebo přehráním </w:t>
      </w:r>
      <w:r w:rsidRPr="00B615A8">
        <w:rPr>
          <w:rFonts w:eastAsia="Arial" w:cs="Times New Roman"/>
          <w:strike/>
          <w:szCs w:val="24"/>
          <w:lang w:eastAsia="cs-CZ"/>
        </w:rPr>
        <w:t>obrazového a zvukového záznamu pořízeného o výslechu</w:t>
      </w:r>
      <w:r w:rsidRPr="00C21786">
        <w:rPr>
          <w:rFonts w:eastAsia="Arial" w:cs="Times New Roman"/>
          <w:szCs w:val="24"/>
          <w:lang w:eastAsia="cs-CZ"/>
        </w:rPr>
        <w:t xml:space="preserve"> </w:t>
      </w:r>
      <w:r w:rsidRPr="00C21786">
        <w:rPr>
          <w:rFonts w:eastAsia="Arial" w:cs="Times New Roman"/>
          <w:strike/>
          <w:szCs w:val="24"/>
          <w:lang w:eastAsia="cs-CZ"/>
        </w:rPr>
        <w:t>provedeném prostřednictvím videokonferenčního zařízení</w:t>
      </w:r>
      <w:r w:rsidRPr="00C21786">
        <w:rPr>
          <w:rFonts w:eastAsia="Arial" w:cs="Times New Roman"/>
          <w:szCs w:val="24"/>
          <w:lang w:eastAsia="cs-CZ"/>
        </w:rPr>
        <w:t xml:space="preserve"> </w:t>
      </w:r>
      <w:r w:rsidR="00F81115">
        <w:rPr>
          <w:rFonts w:eastAsia="Arial" w:cs="Times New Roman"/>
          <w:b/>
          <w:bCs/>
          <w:szCs w:val="24"/>
          <w:lang w:eastAsia="cs-CZ"/>
        </w:rPr>
        <w:t xml:space="preserve">záznamu </w:t>
      </w:r>
      <w:r w:rsidR="006A2DE9">
        <w:rPr>
          <w:rFonts w:eastAsia="Arial" w:cs="Times New Roman"/>
          <w:b/>
          <w:bCs/>
          <w:szCs w:val="24"/>
          <w:lang w:eastAsia="cs-CZ"/>
        </w:rPr>
        <w:t xml:space="preserve">pořízeného o výslechu </w:t>
      </w:r>
      <w:r w:rsidR="006A2DE9">
        <w:rPr>
          <w:rFonts w:eastAsia="Arial" w:cs="Times New Roman"/>
          <w:b/>
          <w:bCs/>
          <w:szCs w:val="24"/>
          <w:lang w:eastAsia="cs-CZ"/>
        </w:rPr>
        <w:br/>
      </w:r>
      <w:r w:rsidRPr="00C21786">
        <w:rPr>
          <w:rFonts w:eastAsia="Arial" w:cs="Times New Roman"/>
          <w:szCs w:val="24"/>
          <w:lang w:eastAsia="cs-CZ"/>
        </w:rPr>
        <w:t>i bez podmínek uvedených v </w:t>
      </w:r>
      <w:r w:rsidR="00412629">
        <w:rPr>
          <w:rFonts w:eastAsia="Arial" w:cs="Times New Roman"/>
          <w:szCs w:val="24"/>
          <w:lang w:eastAsia="cs-CZ"/>
        </w:rPr>
        <w:t>§ 211 odst. 1 a 2</w:t>
      </w:r>
      <w:r w:rsidRPr="00C21786">
        <w:rPr>
          <w:rFonts w:eastAsia="Arial" w:cs="Times New Roman"/>
          <w:szCs w:val="24"/>
          <w:lang w:eastAsia="cs-CZ"/>
        </w:rPr>
        <w:t>. Osoba, která byla k výslechu přibrána, se podle potřeby vyslechne k správnosti a úplnosti zápisu, k způsobu, jímž byl výslech prováděn, jakož i k způsobu, jímž vyslýchaná osoba vypovídala.</w:t>
      </w:r>
    </w:p>
    <w:p w14:paraId="68D1CA01" w14:textId="77777777" w:rsidR="00C21786" w:rsidRPr="00C21786" w:rsidRDefault="00C21786" w:rsidP="00C21786">
      <w:pPr>
        <w:keepNext/>
        <w:spacing w:line="240" w:lineRule="auto"/>
        <w:ind w:firstLine="426"/>
        <w:outlineLvl w:val="1"/>
        <w:rPr>
          <w:rFonts w:eastAsia="Arial" w:cs="Times New Roman"/>
          <w:szCs w:val="24"/>
          <w:lang w:eastAsia="cs-CZ"/>
        </w:rPr>
      </w:pPr>
      <w:r w:rsidRPr="00C21786">
        <w:rPr>
          <w:rFonts w:eastAsia="Arial" w:cs="Times New Roman"/>
          <w:szCs w:val="24"/>
          <w:lang w:eastAsia="cs-CZ"/>
        </w:rPr>
        <w:t>(3) Osobě mladší než 18 let lze klást otázky jen prostřednictvím orgánu činného v trestním řízení.</w:t>
      </w:r>
    </w:p>
    <w:p w14:paraId="46F8E529" w14:textId="644D21C4" w:rsidR="00643CE7" w:rsidRPr="003E6AE3" w:rsidRDefault="00643CE7" w:rsidP="008E1253">
      <w:pPr>
        <w:keepNext/>
        <w:spacing w:line="240" w:lineRule="auto"/>
        <w:jc w:val="center"/>
        <w:outlineLvl w:val="1"/>
        <w:rPr>
          <w:rFonts w:eastAsia="Arial" w:cs="Times New Roman"/>
          <w:bCs/>
          <w:szCs w:val="24"/>
          <w:lang w:eastAsia="cs-CZ"/>
        </w:rPr>
      </w:pPr>
      <w:r w:rsidRPr="003E6AE3">
        <w:rPr>
          <w:rFonts w:eastAsia="Arial" w:cs="Times New Roman"/>
          <w:szCs w:val="24"/>
          <w:lang w:eastAsia="cs-CZ"/>
        </w:rPr>
        <w:t>§ 104b</w:t>
      </w:r>
    </w:p>
    <w:p w14:paraId="557C3786" w14:textId="77777777" w:rsidR="00643CE7" w:rsidRPr="003E6AE3" w:rsidRDefault="00643CE7" w:rsidP="008E1253">
      <w:pPr>
        <w:spacing w:line="240" w:lineRule="auto"/>
        <w:jc w:val="center"/>
        <w:rPr>
          <w:rFonts w:eastAsia="Calibri" w:cs="Times New Roman"/>
          <w:bCs/>
          <w:szCs w:val="24"/>
          <w:lang w:eastAsia="cs-CZ"/>
        </w:rPr>
      </w:pPr>
      <w:r w:rsidRPr="003E6AE3">
        <w:rPr>
          <w:rFonts w:eastAsia="Calibri" w:cs="Times New Roman"/>
          <w:szCs w:val="24"/>
          <w:lang w:eastAsia="cs-CZ"/>
        </w:rPr>
        <w:t>Rekognice</w:t>
      </w:r>
    </w:p>
    <w:p w14:paraId="196B0386" w14:textId="498235D9"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(1) Rekognice se koná, je-li pro trestní řízení důležité, aby podezřelý, obviněný nebo svědek znovu poznal osobu nebo věc a určil tím jejich totožnost. K</w:t>
      </w:r>
      <w:r w:rsidR="008C19D9" w:rsidRPr="003E6AE3">
        <w:rPr>
          <w:rFonts w:eastAsia="Calibri" w:cs="Times New Roman"/>
          <w:szCs w:val="24"/>
          <w:lang w:eastAsia="cs-CZ"/>
        </w:rPr>
        <w:t> </w:t>
      </w:r>
      <w:r w:rsidRPr="003E6AE3">
        <w:rPr>
          <w:rFonts w:eastAsia="Calibri" w:cs="Times New Roman"/>
          <w:szCs w:val="24"/>
          <w:lang w:eastAsia="cs-CZ"/>
        </w:rPr>
        <w:t>provádění rekognice se vždy přibere alespoň jedna osoba, která není na věci zúčastněna.</w:t>
      </w:r>
    </w:p>
    <w:p w14:paraId="3972D81D" w14:textId="77777777"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(2) Podezřelý, obviněný nebo svědek, kteří mají poznat osobu nebo věc, se před rekognicí vyslechnou o okolnostech, za nichž osobu nebo věc vnímali, a o znacích nebo zvláštnostech, podle nichž by bylo možno osobu nebo věc poznat. Osoba nebo věc, která má být poznána, jim nesmí být před rekognicí ukázána.</w:t>
      </w:r>
    </w:p>
    <w:p w14:paraId="05D99F5D" w14:textId="2C7475E8"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(3) Má-li být poznána osoba, ukáže se podezřelému, obviněnému nebo svědkovi mezi nejméně třemi osobami, které se výrazně neodlišují. Osoba, která má být poznána, se vyzve, aby se zařadila na libovolné místo mezi ukazované osoby. Jestliže osoba má být poznána nikoliv podle svého vzezření, ale podle hlasu, umožní se jí, aby hovořila v</w:t>
      </w:r>
      <w:r w:rsidR="008C19D9" w:rsidRPr="003E6AE3">
        <w:rPr>
          <w:rFonts w:eastAsia="Calibri" w:cs="Times New Roman"/>
          <w:szCs w:val="24"/>
          <w:lang w:eastAsia="cs-CZ"/>
        </w:rPr>
        <w:t> </w:t>
      </w:r>
      <w:r w:rsidRPr="003E6AE3">
        <w:rPr>
          <w:rFonts w:eastAsia="Calibri" w:cs="Times New Roman"/>
          <w:szCs w:val="24"/>
          <w:lang w:eastAsia="cs-CZ"/>
        </w:rPr>
        <w:t>libovolném pořadí mezi dalšími osobami s</w:t>
      </w:r>
      <w:r w:rsidR="008C19D9" w:rsidRPr="003E6AE3">
        <w:rPr>
          <w:rFonts w:eastAsia="Calibri" w:cs="Times New Roman"/>
          <w:szCs w:val="24"/>
          <w:lang w:eastAsia="cs-CZ"/>
        </w:rPr>
        <w:t> </w:t>
      </w:r>
      <w:r w:rsidRPr="003E6AE3">
        <w:rPr>
          <w:rFonts w:eastAsia="Calibri" w:cs="Times New Roman"/>
          <w:szCs w:val="24"/>
          <w:lang w:eastAsia="cs-CZ"/>
        </w:rPr>
        <w:t>podobnými hlasovými vlastnostmi.</w:t>
      </w:r>
    </w:p>
    <w:p w14:paraId="08C36990" w14:textId="3694DD1C"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(4) Není-li možno ukázat osobu, která má být poznána, rekognice se provede podle fotografie, která se předloží podezřelému, obviněnému nebo svědkovi s</w:t>
      </w:r>
      <w:r w:rsidR="008C19D9" w:rsidRPr="003E6AE3">
        <w:rPr>
          <w:rFonts w:eastAsia="Calibri" w:cs="Times New Roman"/>
          <w:szCs w:val="24"/>
          <w:lang w:eastAsia="cs-CZ"/>
        </w:rPr>
        <w:t> </w:t>
      </w:r>
      <w:r w:rsidRPr="003E6AE3">
        <w:rPr>
          <w:rFonts w:eastAsia="Calibri" w:cs="Times New Roman"/>
          <w:szCs w:val="24"/>
          <w:lang w:eastAsia="cs-CZ"/>
        </w:rPr>
        <w:t>obdobnými fotografiemi nejméně tří dalších osob. Tento postup nesmí bezprostředně předcházet rekognici ukázáním osoby.</w:t>
      </w:r>
    </w:p>
    <w:p w14:paraId="4BB56452" w14:textId="77777777"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(5) Má-li být poznána věc, ukáže se podezřelému, obviněnému nebo svědkovi ve skupině věcí pokud možno téhož druhu.</w:t>
      </w:r>
    </w:p>
    <w:p w14:paraId="08D681AC" w14:textId="77777777"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(6) Pro rekognici jinak platí ustanovení o výpovědi obviněného a svědka.</w:t>
      </w:r>
    </w:p>
    <w:p w14:paraId="28395BD5" w14:textId="2B6A7227" w:rsidR="00643CE7" w:rsidRPr="003E6AE3" w:rsidRDefault="00643CE7" w:rsidP="008E1253">
      <w:pPr>
        <w:spacing w:line="240" w:lineRule="auto"/>
        <w:ind w:firstLine="426"/>
        <w:rPr>
          <w:rFonts w:eastAsia="Calibri" w:cs="Times New Roman"/>
          <w:bCs/>
          <w:szCs w:val="24"/>
          <w:lang w:eastAsia="cs-CZ"/>
        </w:rPr>
      </w:pPr>
      <w:r w:rsidRPr="003E6AE3">
        <w:rPr>
          <w:rFonts w:eastAsia="Calibri" w:cs="Times New Roman"/>
          <w:szCs w:val="24"/>
          <w:lang w:eastAsia="cs-CZ"/>
        </w:rPr>
        <w:t>(7) Podle povahy věci lze rekognici provést tak, aby se poznávající osoba bezprostředně nesetkala s</w:t>
      </w:r>
      <w:r w:rsidR="008C19D9" w:rsidRPr="003E6AE3">
        <w:rPr>
          <w:rFonts w:eastAsia="Calibri" w:cs="Times New Roman"/>
          <w:szCs w:val="24"/>
          <w:lang w:eastAsia="cs-CZ"/>
        </w:rPr>
        <w:t> </w:t>
      </w:r>
      <w:r w:rsidRPr="003E6AE3">
        <w:rPr>
          <w:rFonts w:eastAsia="Calibri" w:cs="Times New Roman"/>
          <w:szCs w:val="24"/>
          <w:lang w:eastAsia="cs-CZ"/>
        </w:rPr>
        <w:t>poznávanou osobou. Provádí-li se rekognice za účasti osoby mladší než osmnáct let, užije se přiměřeně § 102. Rekognici za přítomnosti svědka, jehož totožnost se utajuje z</w:t>
      </w:r>
      <w:r w:rsidR="008C19D9" w:rsidRPr="003E6AE3">
        <w:rPr>
          <w:rFonts w:eastAsia="Calibri" w:cs="Times New Roman"/>
          <w:szCs w:val="24"/>
          <w:lang w:eastAsia="cs-CZ"/>
        </w:rPr>
        <w:t> </w:t>
      </w:r>
      <w:r w:rsidRPr="003E6AE3">
        <w:rPr>
          <w:rFonts w:eastAsia="Calibri" w:cs="Times New Roman"/>
          <w:szCs w:val="24"/>
          <w:lang w:eastAsia="cs-CZ"/>
        </w:rPr>
        <w:t xml:space="preserve">důvodů uvedených v § 55 odst. 2, lze za podmínek utajení jeho podoby a </w:t>
      </w:r>
      <w:r w:rsidRPr="003E6AE3">
        <w:rPr>
          <w:rFonts w:eastAsia="Calibri" w:cs="Times New Roman"/>
          <w:strike/>
          <w:szCs w:val="24"/>
          <w:lang w:eastAsia="cs-CZ"/>
        </w:rPr>
        <w:t>osobních údajů</w:t>
      </w:r>
      <w:r w:rsidRPr="003E6AE3">
        <w:rPr>
          <w:rFonts w:eastAsia="Calibri" w:cs="Times New Roman"/>
          <w:szCs w:val="24"/>
          <w:lang w:eastAsia="cs-CZ"/>
        </w:rPr>
        <w:t xml:space="preserve"> </w:t>
      </w:r>
      <w:r w:rsidRPr="003E6AE3">
        <w:rPr>
          <w:rFonts w:eastAsia="Calibri" w:cs="Times New Roman"/>
          <w:b/>
          <w:szCs w:val="24"/>
          <w:lang w:eastAsia="cs-CZ"/>
        </w:rPr>
        <w:t xml:space="preserve">údajů umožňujících jeho identifikaci </w:t>
      </w:r>
      <w:r w:rsidRPr="003E6AE3">
        <w:rPr>
          <w:rFonts w:eastAsia="Calibri" w:cs="Times New Roman"/>
          <w:szCs w:val="24"/>
          <w:lang w:eastAsia="cs-CZ"/>
        </w:rPr>
        <w:t>provést, pokud je svědek poznávající osobou.</w:t>
      </w:r>
    </w:p>
    <w:p w14:paraId="3B84C4A2" w14:textId="77777777" w:rsidR="00643CE7" w:rsidRPr="003E6AE3" w:rsidRDefault="00643CE7" w:rsidP="008E1253">
      <w:pPr>
        <w:spacing w:line="240" w:lineRule="auto"/>
        <w:ind w:firstLine="426"/>
        <w:rPr>
          <w:rFonts w:eastAsia="Calibri" w:cs="Times New Roman"/>
          <w:szCs w:val="24"/>
          <w:lang w:eastAsia="cs-CZ"/>
        </w:rPr>
      </w:pPr>
      <w:r w:rsidRPr="003E6AE3">
        <w:rPr>
          <w:rFonts w:eastAsia="Calibri" w:cs="Times New Roman"/>
          <w:szCs w:val="24"/>
          <w:lang w:eastAsia="cs-CZ"/>
        </w:rPr>
        <w:t>(8) Po provedení rekognice se podezřelý, obviněný nebo svědek vyslechnou znovu, je-li třeba odstranit rozpor mezi jejich výpovědí a výsledky rekognice.</w:t>
      </w:r>
    </w:p>
    <w:bookmarkEnd w:id="23"/>
    <w:p w14:paraId="505499BF" w14:textId="7FEF29DD" w:rsidR="00E96AFE" w:rsidRDefault="00E96AFE" w:rsidP="008E1253">
      <w:pPr>
        <w:keepNext/>
        <w:spacing w:line="240" w:lineRule="auto"/>
        <w:jc w:val="center"/>
        <w:outlineLvl w:val="1"/>
        <w:rPr>
          <w:rFonts w:eastAsia="Arial" w:cs="Times New Roman"/>
          <w:szCs w:val="24"/>
          <w:lang w:eastAsia="cs-CZ"/>
        </w:rPr>
      </w:pPr>
      <w:r>
        <w:rPr>
          <w:rFonts w:eastAsia="Arial" w:cs="Times New Roman"/>
          <w:szCs w:val="24"/>
          <w:lang w:eastAsia="cs-CZ"/>
        </w:rPr>
        <w:t>§ 108</w:t>
      </w:r>
    </w:p>
    <w:p w14:paraId="78B302A8" w14:textId="77777777" w:rsidR="00E96AFE" w:rsidRPr="00E96AFE" w:rsidRDefault="00E96AFE" w:rsidP="00E96AFE">
      <w:pPr>
        <w:keepNext/>
        <w:spacing w:line="240" w:lineRule="auto"/>
        <w:jc w:val="center"/>
        <w:outlineLvl w:val="1"/>
        <w:rPr>
          <w:rFonts w:eastAsia="Arial" w:cs="Times New Roman"/>
          <w:szCs w:val="24"/>
          <w:lang w:eastAsia="cs-CZ"/>
        </w:rPr>
      </w:pPr>
      <w:r w:rsidRPr="00E96AFE">
        <w:rPr>
          <w:rFonts w:eastAsia="Arial" w:cs="Times New Roman"/>
          <w:szCs w:val="24"/>
          <w:lang w:eastAsia="cs-CZ"/>
        </w:rPr>
        <w:t>Výslech znalce</w:t>
      </w:r>
    </w:p>
    <w:p w14:paraId="0679D794" w14:textId="40059E4E" w:rsidR="00E96AFE" w:rsidRPr="00E96AFE" w:rsidRDefault="00E96AFE" w:rsidP="00E96AFE">
      <w:pPr>
        <w:keepNext/>
        <w:tabs>
          <w:tab w:val="left" w:pos="426"/>
        </w:tabs>
        <w:spacing w:line="240" w:lineRule="auto"/>
        <w:outlineLvl w:val="1"/>
        <w:rPr>
          <w:rFonts w:eastAsia="Arial" w:cs="Times New Roman"/>
          <w:szCs w:val="24"/>
          <w:lang w:eastAsia="cs-CZ"/>
        </w:rPr>
      </w:pPr>
      <w:r>
        <w:rPr>
          <w:rFonts w:eastAsia="Arial" w:cs="Times New Roman"/>
          <w:szCs w:val="24"/>
          <w:lang w:eastAsia="cs-CZ"/>
        </w:rPr>
        <w:tab/>
      </w:r>
      <w:r w:rsidRPr="00E96AFE">
        <w:rPr>
          <w:rFonts w:eastAsia="Arial" w:cs="Times New Roman"/>
          <w:szCs w:val="24"/>
          <w:lang w:eastAsia="cs-CZ"/>
        </w:rPr>
        <w:t>(1) Vypracoval-li znalec posudek písemně, stačí, aby se při výslechu naň odvolal a jej stvrdil. Nebyl-li posudek vypracován písemně, nadiktuje jej znalec při výslechu do protokolu</w:t>
      </w:r>
      <w:r w:rsidR="00BE6D67" w:rsidRPr="00BE6D67">
        <w:rPr>
          <w:rFonts w:cs="Times New Roman"/>
          <w:szCs w:val="24"/>
        </w:rPr>
        <w:t xml:space="preserve"> </w:t>
      </w:r>
      <w:r w:rsidR="00BE6D67" w:rsidRPr="00BE6D67">
        <w:rPr>
          <w:rFonts w:cs="Times New Roman"/>
          <w:b/>
          <w:bCs/>
          <w:szCs w:val="24"/>
        </w:rPr>
        <w:t>nebo jej ústně přednese, není-li protokol o výslechu pořizován</w:t>
      </w:r>
      <w:r w:rsidRPr="00E96AFE">
        <w:rPr>
          <w:rFonts w:eastAsia="Arial" w:cs="Times New Roman"/>
          <w:szCs w:val="24"/>
          <w:lang w:eastAsia="cs-CZ"/>
        </w:rPr>
        <w:t>.</w:t>
      </w:r>
    </w:p>
    <w:p w14:paraId="0B4FF5A7" w14:textId="77777777" w:rsidR="00E96AFE" w:rsidRPr="00E96AFE" w:rsidRDefault="00E96AFE" w:rsidP="00E96AFE">
      <w:pPr>
        <w:keepNext/>
        <w:spacing w:line="240" w:lineRule="auto"/>
        <w:ind w:firstLine="426"/>
        <w:outlineLvl w:val="1"/>
        <w:rPr>
          <w:rFonts w:eastAsia="Arial" w:cs="Times New Roman"/>
          <w:szCs w:val="24"/>
          <w:lang w:eastAsia="cs-CZ"/>
        </w:rPr>
      </w:pPr>
      <w:r w:rsidRPr="00E96AFE">
        <w:rPr>
          <w:rFonts w:eastAsia="Arial" w:cs="Times New Roman"/>
          <w:szCs w:val="24"/>
          <w:lang w:eastAsia="cs-CZ"/>
        </w:rPr>
        <w:t>(2) Bylo-li přibráno více znalců, kteří dospěli po vzájemné poradě k souhlasným závěrům, podá za všechny posudek ten z nich, jehož sami k tomu určili; různí-li se závěry znalců, je třeba vyslechnout každého zvlášť.</w:t>
      </w:r>
    </w:p>
    <w:p w14:paraId="6FCAD3DC" w14:textId="4FF2EF4D" w:rsidR="00E96AFE" w:rsidRDefault="00E96AFE" w:rsidP="005A1BE9">
      <w:pPr>
        <w:keepNext/>
        <w:spacing w:line="240" w:lineRule="auto"/>
        <w:ind w:firstLine="426"/>
        <w:outlineLvl w:val="1"/>
        <w:rPr>
          <w:rFonts w:eastAsia="Arial" w:cs="Times New Roman"/>
          <w:szCs w:val="24"/>
          <w:lang w:eastAsia="cs-CZ"/>
        </w:rPr>
      </w:pPr>
      <w:r w:rsidRPr="00E96AFE">
        <w:rPr>
          <w:rFonts w:eastAsia="Arial" w:cs="Times New Roman"/>
          <w:szCs w:val="24"/>
          <w:lang w:eastAsia="cs-CZ"/>
        </w:rPr>
        <w:t>(3) V přípravném řízení lze od výslechu znalce upustit, nemá-li policejní orgán ani státní zástupce o spolehlivosti a úplnosti písemně podaného znaleckého posudku pochybnosti.</w:t>
      </w:r>
    </w:p>
    <w:p w14:paraId="6F7854EA" w14:textId="4B748664" w:rsidR="00643CE7" w:rsidRPr="003E6AE3" w:rsidRDefault="00643CE7" w:rsidP="008E1253">
      <w:pPr>
        <w:keepNext/>
        <w:spacing w:line="240" w:lineRule="auto"/>
        <w:jc w:val="center"/>
        <w:outlineLvl w:val="1"/>
        <w:rPr>
          <w:rFonts w:eastAsia="Arial" w:cs="Times New Roman"/>
          <w:bCs/>
          <w:szCs w:val="24"/>
          <w:lang w:eastAsia="cs-CZ"/>
        </w:rPr>
      </w:pPr>
      <w:r w:rsidRPr="003E6AE3">
        <w:rPr>
          <w:rFonts w:eastAsia="Arial" w:cs="Times New Roman"/>
          <w:szCs w:val="24"/>
          <w:lang w:eastAsia="cs-CZ"/>
        </w:rPr>
        <w:t xml:space="preserve">§ 111a </w:t>
      </w:r>
    </w:p>
    <w:p w14:paraId="765E7B95" w14:textId="291FAD94"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(1) Je-li výslech obviněného prováděn prostřednictvím videokonferenčního zařízení, vyrozumí se jeho obhájce o době a místě, na které byl obviněný předvolán. V</w:t>
      </w:r>
      <w:r w:rsidR="008C19D9" w:rsidRPr="003E6AE3">
        <w:rPr>
          <w:rFonts w:eastAsia="Calibri" w:cs="Times New Roman"/>
          <w:szCs w:val="24"/>
        </w:rPr>
        <w:t> </w:t>
      </w:r>
      <w:r w:rsidRPr="003E6AE3">
        <w:rPr>
          <w:rFonts w:eastAsia="Calibri" w:cs="Times New Roman"/>
          <w:szCs w:val="24"/>
        </w:rPr>
        <w:t>případě výslechu spoluobviněného, svědka nebo znalce tímto způsobem se obhájce obviněného vyrozumí o době a místě, ze kterého bude výslech provádět příslušný orgán činný v</w:t>
      </w:r>
      <w:r w:rsidR="008C19D9" w:rsidRPr="003E6AE3">
        <w:rPr>
          <w:rFonts w:eastAsia="Calibri" w:cs="Times New Roman"/>
          <w:szCs w:val="24"/>
        </w:rPr>
        <w:t> </w:t>
      </w:r>
      <w:r w:rsidRPr="003E6AE3">
        <w:rPr>
          <w:rFonts w:eastAsia="Calibri" w:cs="Times New Roman"/>
          <w:szCs w:val="24"/>
        </w:rPr>
        <w:t>trestním řízení.</w:t>
      </w:r>
    </w:p>
    <w:p w14:paraId="21B7F698" w14:textId="1C8EE1E9" w:rsidR="00643CE7" w:rsidRPr="003E6AE3" w:rsidRDefault="00643CE7" w:rsidP="008E1253">
      <w:pPr>
        <w:spacing w:line="240" w:lineRule="auto"/>
        <w:ind w:firstLine="426"/>
        <w:rPr>
          <w:rFonts w:eastAsia="Calibri" w:cs="Times New Roman"/>
          <w:bCs/>
          <w:strike/>
          <w:szCs w:val="24"/>
        </w:rPr>
      </w:pPr>
      <w:r w:rsidRPr="003E6AE3">
        <w:rPr>
          <w:rFonts w:eastAsia="Calibri" w:cs="Times New Roman"/>
          <w:strike/>
          <w:szCs w:val="24"/>
        </w:rPr>
        <w:t>(2) Je-li výslech osoby prováděn prostřednictvím videokonferenčního zařízení, ověří její totožnost zaměstnanec soudu, státního zastupitelství nebo policejního orgánu pověřený k</w:t>
      </w:r>
      <w:r w:rsidR="008C19D9" w:rsidRPr="003E6AE3">
        <w:rPr>
          <w:rFonts w:eastAsia="Calibri" w:cs="Times New Roman"/>
          <w:strike/>
          <w:szCs w:val="24"/>
        </w:rPr>
        <w:t> </w:t>
      </w:r>
      <w:r w:rsidRPr="003E6AE3">
        <w:rPr>
          <w:rFonts w:eastAsia="Calibri" w:cs="Times New Roman"/>
          <w:strike/>
          <w:szCs w:val="24"/>
        </w:rPr>
        <w:t>tomu osobou provádějící výslech. Osobou ověřující totožnost v</w:t>
      </w:r>
      <w:r w:rsidR="008C19D9" w:rsidRPr="003E6AE3">
        <w:rPr>
          <w:rFonts w:eastAsia="Calibri" w:cs="Times New Roman"/>
          <w:strike/>
          <w:szCs w:val="24"/>
        </w:rPr>
        <w:t> </w:t>
      </w:r>
      <w:r w:rsidRPr="003E6AE3">
        <w:rPr>
          <w:rFonts w:eastAsia="Calibri" w:cs="Times New Roman"/>
          <w:strike/>
          <w:szCs w:val="24"/>
        </w:rPr>
        <w:t>místě, kde se při výslechu nachází vyslýchaný, může být se souhlasem osoby provádějící výslech i zaměstnanec soudu, státního zastupitelství, věznice nebo policejního orgánu, pokud k</w:t>
      </w:r>
      <w:r w:rsidR="008C19D9" w:rsidRPr="003E6AE3">
        <w:rPr>
          <w:rFonts w:eastAsia="Calibri" w:cs="Times New Roman"/>
          <w:strike/>
          <w:szCs w:val="24"/>
        </w:rPr>
        <w:t> </w:t>
      </w:r>
      <w:r w:rsidRPr="003E6AE3">
        <w:rPr>
          <w:rFonts w:eastAsia="Calibri" w:cs="Times New Roman"/>
          <w:strike/>
          <w:szCs w:val="24"/>
        </w:rPr>
        <w:t xml:space="preserve">tomu byl pověřen předsedou tohoto soudu, vedoucím státním zástupcem, ředitelem věznice nebo vedoucím příslušníkem policejního orgánu. Tento zaměstnanec je po celou dobu výslechu přítomen na místě, kde se nachází vyslýchaná osoba. </w:t>
      </w:r>
    </w:p>
    <w:p w14:paraId="297BFB9D" w14:textId="552BB9C7" w:rsidR="00643CE7" w:rsidRPr="003E6AE3" w:rsidRDefault="00643CE7" w:rsidP="008E1253">
      <w:pPr>
        <w:spacing w:line="240" w:lineRule="auto"/>
        <w:ind w:firstLine="426"/>
        <w:rPr>
          <w:rFonts w:eastAsia="Calibri" w:cs="Times New Roman"/>
          <w:b/>
          <w:szCs w:val="24"/>
        </w:rPr>
      </w:pPr>
      <w:r w:rsidRPr="003E6AE3">
        <w:rPr>
          <w:rFonts w:eastAsia="Calibri" w:cs="Times New Roman"/>
          <w:b/>
          <w:szCs w:val="24"/>
        </w:rPr>
        <w:t>(2) Výslech může být prováděn prostřednictvím videokonferenčního zařízení, je-li zajištěno řádné ověření totožnosti vyslýchané osoby. Při výslechu je třeba zvlášť dbát na to, aby vyslýchaná osoba nebyla v</w:t>
      </w:r>
      <w:r w:rsidR="008C19D9" w:rsidRPr="003E6AE3">
        <w:rPr>
          <w:rFonts w:eastAsia="Calibri" w:cs="Times New Roman"/>
          <w:b/>
          <w:szCs w:val="24"/>
        </w:rPr>
        <w:t> </w:t>
      </w:r>
      <w:r w:rsidRPr="003E6AE3">
        <w:rPr>
          <w:rFonts w:eastAsia="Calibri" w:cs="Times New Roman"/>
          <w:b/>
          <w:szCs w:val="24"/>
        </w:rPr>
        <w:t>místě, kde se nachází, vystavena nepřípustnému ovlivňování.</w:t>
      </w:r>
    </w:p>
    <w:p w14:paraId="14707A13" w14:textId="26A57713"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(3) Totožnost svědka, jehož totožnost je utajována a jehož výslech je prováděn prostřednictvím videokonferenčního zařízení, ověří v</w:t>
      </w:r>
      <w:r w:rsidR="008C19D9" w:rsidRPr="003E6AE3">
        <w:rPr>
          <w:rFonts w:eastAsia="Calibri" w:cs="Times New Roman"/>
          <w:szCs w:val="24"/>
        </w:rPr>
        <w:t> </w:t>
      </w:r>
      <w:r w:rsidRPr="003E6AE3">
        <w:rPr>
          <w:rFonts w:eastAsia="Calibri" w:cs="Times New Roman"/>
          <w:szCs w:val="24"/>
        </w:rPr>
        <w:t>řízení před soudem předseda senátu nebo zaměstnanec soudu pověřený zabezpečováním ochrany utajovaných informací určený k</w:t>
      </w:r>
      <w:r w:rsidR="008C19D9" w:rsidRPr="003E6AE3">
        <w:rPr>
          <w:rFonts w:eastAsia="Calibri" w:cs="Times New Roman"/>
          <w:szCs w:val="24"/>
        </w:rPr>
        <w:t> </w:t>
      </w:r>
      <w:r w:rsidRPr="003E6AE3">
        <w:rPr>
          <w:rFonts w:eastAsia="Calibri" w:cs="Times New Roman"/>
          <w:szCs w:val="24"/>
        </w:rPr>
        <w:t>této činnosti předsedou soudu a v</w:t>
      </w:r>
      <w:r w:rsidR="008C19D9" w:rsidRPr="003E6AE3">
        <w:rPr>
          <w:rFonts w:eastAsia="Calibri" w:cs="Times New Roman"/>
          <w:szCs w:val="24"/>
        </w:rPr>
        <w:t> </w:t>
      </w:r>
      <w:r w:rsidRPr="003E6AE3">
        <w:rPr>
          <w:rFonts w:eastAsia="Calibri" w:cs="Times New Roman"/>
          <w:szCs w:val="24"/>
        </w:rPr>
        <w:t>přípravném řízení zaměstnanec státního zastupitelství nebo policejního orgánu pověřený ochranou utajovaných informací určený k</w:t>
      </w:r>
      <w:r w:rsidR="008C19D9" w:rsidRPr="003E6AE3">
        <w:rPr>
          <w:rFonts w:eastAsia="Calibri" w:cs="Times New Roman"/>
          <w:szCs w:val="24"/>
        </w:rPr>
        <w:t> </w:t>
      </w:r>
      <w:r w:rsidRPr="003E6AE3">
        <w:rPr>
          <w:rFonts w:eastAsia="Calibri" w:cs="Times New Roman"/>
          <w:szCs w:val="24"/>
        </w:rPr>
        <w:t>této činnosti vedoucím státním zástupcem nebo vedoucím příslušníkem policejního orgánu. Tento zaměstnanec je po celou dobu výslechu přítomen na místě, kde se nachází svědek, jehož totožnost je utajována.</w:t>
      </w:r>
    </w:p>
    <w:p w14:paraId="3A07DBAE" w14:textId="0C0EBAB8" w:rsidR="00643CE7" w:rsidRPr="003E6AE3" w:rsidRDefault="00643CE7" w:rsidP="008E1253">
      <w:pPr>
        <w:spacing w:line="240" w:lineRule="auto"/>
        <w:ind w:firstLine="426"/>
        <w:rPr>
          <w:rFonts w:eastAsia="Calibri" w:cs="Times New Roman"/>
          <w:bCs/>
          <w:szCs w:val="24"/>
        </w:rPr>
      </w:pPr>
      <w:r w:rsidRPr="003E6AE3">
        <w:rPr>
          <w:rFonts w:eastAsia="Calibri" w:cs="Times New Roman"/>
          <w:szCs w:val="24"/>
        </w:rPr>
        <w:t>(4) Orgán činný v</w:t>
      </w:r>
      <w:r w:rsidR="008C19D9" w:rsidRPr="003E6AE3">
        <w:rPr>
          <w:rFonts w:eastAsia="Calibri" w:cs="Times New Roman"/>
          <w:szCs w:val="24"/>
        </w:rPr>
        <w:t> </w:t>
      </w:r>
      <w:r w:rsidRPr="003E6AE3">
        <w:rPr>
          <w:rFonts w:eastAsia="Calibri" w:cs="Times New Roman"/>
          <w:szCs w:val="24"/>
        </w:rPr>
        <w:t>trestním řízení provádějící výslech poučí vyslýchanou osobu před započetím výslechu prováděného prostřednictvím videokonferenčního zařízení o způsobu provedení výslechu.</w:t>
      </w:r>
    </w:p>
    <w:p w14:paraId="6DF05884" w14:textId="10A18C39" w:rsidR="00E6717F" w:rsidRPr="003E6AE3" w:rsidRDefault="00643CE7" w:rsidP="008E1253">
      <w:pPr>
        <w:spacing w:line="240" w:lineRule="auto"/>
        <w:ind w:firstLine="426"/>
        <w:rPr>
          <w:rFonts w:eastAsia="Calibri" w:cs="Times New Roman"/>
          <w:bCs/>
          <w:szCs w:val="24"/>
        </w:rPr>
      </w:pPr>
      <w:r w:rsidRPr="003E6AE3">
        <w:rPr>
          <w:rFonts w:eastAsia="Calibri" w:cs="Times New Roman"/>
          <w:szCs w:val="24"/>
        </w:rPr>
        <w:t>(5) Kdykoli v</w:t>
      </w:r>
      <w:r w:rsidR="008C19D9" w:rsidRPr="003E6AE3">
        <w:rPr>
          <w:rFonts w:eastAsia="Calibri" w:cs="Times New Roman"/>
          <w:szCs w:val="24"/>
        </w:rPr>
        <w:t> </w:t>
      </w:r>
      <w:r w:rsidRPr="003E6AE3">
        <w:rPr>
          <w:rFonts w:eastAsia="Calibri" w:cs="Times New Roman"/>
          <w:szCs w:val="24"/>
        </w:rPr>
        <w:t>průběhu výslechu prováděného prostřednictvím videokonferenčního zařízení může vyslýchaná osoba vznášet námitky proti kvalitě obrazového nebo zvukového přenosu.</w:t>
      </w:r>
    </w:p>
    <w:p w14:paraId="309A6A95" w14:textId="47017F07" w:rsidR="00281527" w:rsidRPr="00EE1DDF" w:rsidRDefault="00281527" w:rsidP="008E1253">
      <w:pPr>
        <w:keepNext/>
        <w:spacing w:line="240" w:lineRule="auto"/>
        <w:jc w:val="center"/>
        <w:outlineLvl w:val="1"/>
        <w:rPr>
          <w:rFonts w:eastAsia="Arial" w:cs="Times New Roman"/>
          <w:szCs w:val="24"/>
          <w:lang w:eastAsia="cs-CZ"/>
        </w:rPr>
      </w:pPr>
      <w:r w:rsidRPr="00EE1DDF">
        <w:rPr>
          <w:rFonts w:eastAsia="Arial" w:cs="Times New Roman"/>
          <w:szCs w:val="24"/>
          <w:lang w:eastAsia="cs-CZ"/>
        </w:rPr>
        <w:t>§ 127</w:t>
      </w:r>
    </w:p>
    <w:p w14:paraId="2EF79D63" w14:textId="540A6993" w:rsidR="00281527" w:rsidRPr="003E6AE3" w:rsidRDefault="00281527" w:rsidP="008E1253">
      <w:pPr>
        <w:spacing w:line="240" w:lineRule="auto"/>
        <w:ind w:firstLine="426"/>
        <w:rPr>
          <w:rFonts w:eastAsia="Calibri" w:cs="Times New Roman"/>
          <w:szCs w:val="24"/>
        </w:rPr>
      </w:pPr>
      <w:r w:rsidRPr="003E6AE3">
        <w:rPr>
          <w:rFonts w:eastAsia="Calibri" w:cs="Times New Roman"/>
          <w:szCs w:val="24"/>
        </w:rPr>
        <w:t>(1) Poradě a hlasování nesmí být kromě soudců a přísedících zúčastnivších se jednání, jež rozsudku bezprostředně předcházelo, a zapisovatele</w:t>
      </w:r>
      <w:r w:rsidR="00F72FCE" w:rsidRPr="003E6AE3">
        <w:rPr>
          <w:rFonts w:eastAsia="Calibri" w:cs="Times New Roman"/>
          <w:b/>
          <w:bCs/>
          <w:szCs w:val="24"/>
        </w:rPr>
        <w:t>, pokud byl přibrán,</w:t>
      </w:r>
      <w:r w:rsidRPr="003E6AE3">
        <w:rPr>
          <w:rFonts w:eastAsia="Calibri" w:cs="Times New Roman"/>
          <w:szCs w:val="24"/>
        </w:rPr>
        <w:t xml:space="preserve"> přítomen nikdo jiný. O obsahu porady je nutno zachovat mlčenlivost.</w:t>
      </w:r>
    </w:p>
    <w:p w14:paraId="6C5DAED6" w14:textId="77777777" w:rsidR="00281527" w:rsidRPr="003E6AE3" w:rsidRDefault="00281527" w:rsidP="008E1253">
      <w:pPr>
        <w:spacing w:line="240" w:lineRule="auto"/>
        <w:ind w:firstLine="426"/>
        <w:rPr>
          <w:rFonts w:eastAsia="Calibri" w:cs="Times New Roman"/>
          <w:szCs w:val="24"/>
        </w:rPr>
      </w:pPr>
      <w:r w:rsidRPr="003E6AE3">
        <w:rPr>
          <w:rFonts w:eastAsia="Calibri" w:cs="Times New Roman"/>
          <w:szCs w:val="24"/>
        </w:rPr>
        <w:t>(2) Při hlasování rozhoduje většina hlasů. Nelze-li většiny dosáhnout, připočítávají se hlasy obžalovanému nejméně příznivé k hlasům po nich příznivějším tak dlouho, až se dosáhne většiny. Je-li sporné, které mínění je obžalovanému příznivější, rozhodne se o tom hlasováním.</w:t>
      </w:r>
    </w:p>
    <w:p w14:paraId="610939B5" w14:textId="77777777" w:rsidR="00281527" w:rsidRPr="003E6AE3" w:rsidRDefault="00281527" w:rsidP="008E1253">
      <w:pPr>
        <w:spacing w:line="240" w:lineRule="auto"/>
        <w:ind w:firstLine="426"/>
        <w:rPr>
          <w:rFonts w:eastAsia="Calibri" w:cs="Times New Roman"/>
          <w:szCs w:val="24"/>
        </w:rPr>
      </w:pPr>
      <w:r w:rsidRPr="003E6AE3">
        <w:rPr>
          <w:rFonts w:eastAsia="Calibri" w:cs="Times New Roman"/>
          <w:szCs w:val="24"/>
        </w:rPr>
        <w:t>(3) Každý člen senátu musí hlasovat, i když byl v některé předchozí otázce přehlasován. Při hlasování o trestu se však mohou hlasování zdržet ti, kdo hlasovali pro zproštění obžaloby; jejich hlasy se přičítají k hlasu pro obžalovaného nejpříznivějšímu.</w:t>
      </w:r>
    </w:p>
    <w:p w14:paraId="39F7B93C" w14:textId="77777777" w:rsidR="00281527" w:rsidRPr="003E6AE3" w:rsidRDefault="00281527" w:rsidP="008E1253">
      <w:pPr>
        <w:spacing w:line="240" w:lineRule="auto"/>
        <w:ind w:firstLine="426"/>
        <w:rPr>
          <w:rFonts w:eastAsia="Calibri" w:cs="Times New Roman"/>
          <w:szCs w:val="24"/>
        </w:rPr>
      </w:pPr>
      <w:r w:rsidRPr="003E6AE3">
        <w:rPr>
          <w:rFonts w:eastAsia="Calibri" w:cs="Times New Roman"/>
          <w:szCs w:val="24"/>
        </w:rPr>
        <w:t>(4) Přísedící hlasují před soudci. Přísedící a soudci mladší hlasují před staršími. Předseda senátu hlasuje naposledy.</w:t>
      </w:r>
    </w:p>
    <w:p w14:paraId="5B10F3E2" w14:textId="0779525C" w:rsidR="00281527" w:rsidRPr="003E6AE3" w:rsidRDefault="00281527" w:rsidP="008E1253">
      <w:pPr>
        <w:spacing w:line="240" w:lineRule="auto"/>
        <w:ind w:firstLine="426"/>
        <w:rPr>
          <w:rFonts w:eastAsia="Calibri" w:cs="Times New Roman"/>
          <w:szCs w:val="24"/>
        </w:rPr>
      </w:pPr>
      <w:r w:rsidRPr="003E6AE3">
        <w:rPr>
          <w:rFonts w:eastAsia="Calibri" w:cs="Times New Roman"/>
          <w:szCs w:val="24"/>
        </w:rPr>
        <w:t>(5) O hlasování se sepíše zvláštní protokol (</w:t>
      </w:r>
      <w:hyperlink r:id="rId12" w:history="1">
        <w:r w:rsidRPr="003E6AE3">
          <w:rPr>
            <w:rStyle w:val="Hypertextovodkaz"/>
            <w:rFonts w:eastAsia="Calibri" w:cs="Times New Roman"/>
            <w:color w:val="auto"/>
            <w:szCs w:val="24"/>
            <w:u w:val="none"/>
          </w:rPr>
          <w:t>§ 58</w:t>
        </w:r>
      </w:hyperlink>
      <w:r w:rsidRPr="003E6AE3">
        <w:rPr>
          <w:rFonts w:eastAsia="Calibri" w:cs="Times New Roman"/>
          <w:szCs w:val="24"/>
        </w:rPr>
        <w:t>).</w:t>
      </w:r>
    </w:p>
    <w:p w14:paraId="4D7C56A8" w14:textId="3A9401AC" w:rsidR="00E6717F" w:rsidRPr="00EE1DDF" w:rsidRDefault="00E6717F" w:rsidP="008E1253">
      <w:pPr>
        <w:keepNext/>
        <w:spacing w:line="240" w:lineRule="auto"/>
        <w:jc w:val="center"/>
        <w:outlineLvl w:val="1"/>
        <w:rPr>
          <w:rFonts w:eastAsia="Arial" w:cs="Times New Roman"/>
          <w:szCs w:val="24"/>
          <w:lang w:eastAsia="cs-CZ"/>
        </w:rPr>
      </w:pPr>
      <w:r w:rsidRPr="00EE1DDF">
        <w:rPr>
          <w:rFonts w:eastAsia="Arial" w:cs="Times New Roman"/>
          <w:szCs w:val="24"/>
          <w:lang w:eastAsia="cs-CZ"/>
        </w:rPr>
        <w:t>§ 143</w:t>
      </w:r>
    </w:p>
    <w:p w14:paraId="3615502F" w14:textId="600A108E" w:rsidR="00E6717F" w:rsidRPr="003E6AE3" w:rsidRDefault="00E6717F" w:rsidP="008E1253">
      <w:pPr>
        <w:spacing w:line="240" w:lineRule="auto"/>
        <w:jc w:val="center"/>
        <w:rPr>
          <w:rFonts w:eastAsia="Calibri" w:cs="Times New Roman"/>
          <w:bCs/>
          <w:szCs w:val="24"/>
        </w:rPr>
      </w:pPr>
      <w:bookmarkStart w:id="24" w:name="c_113392"/>
      <w:bookmarkEnd w:id="24"/>
      <w:r w:rsidRPr="003E6AE3">
        <w:rPr>
          <w:rFonts w:eastAsia="Calibri" w:cs="Times New Roman"/>
          <w:szCs w:val="24"/>
        </w:rPr>
        <w:t>Lhůta a místo k</w:t>
      </w:r>
      <w:r w:rsidR="008C19D9" w:rsidRPr="003E6AE3">
        <w:rPr>
          <w:rFonts w:eastAsia="Calibri" w:cs="Times New Roman"/>
          <w:szCs w:val="24"/>
        </w:rPr>
        <w:t> </w:t>
      </w:r>
      <w:r w:rsidRPr="003E6AE3">
        <w:rPr>
          <w:rFonts w:eastAsia="Calibri" w:cs="Times New Roman"/>
          <w:szCs w:val="24"/>
        </w:rPr>
        <w:t>podání</w:t>
      </w:r>
    </w:p>
    <w:p w14:paraId="25C651B2" w14:textId="532843FB" w:rsidR="00EE1DDF" w:rsidRDefault="00E6717F" w:rsidP="008E1253">
      <w:pPr>
        <w:spacing w:line="240" w:lineRule="auto"/>
        <w:ind w:firstLine="426"/>
        <w:rPr>
          <w:rFonts w:eastAsia="Calibri" w:cs="Times New Roman"/>
          <w:bCs/>
          <w:strike/>
          <w:szCs w:val="24"/>
        </w:rPr>
      </w:pPr>
      <w:r w:rsidRPr="003E6AE3">
        <w:rPr>
          <w:rFonts w:eastAsia="Calibri" w:cs="Times New Roman"/>
          <w:strike/>
          <w:szCs w:val="24"/>
        </w:rPr>
        <w:t>(1) Stížnost se podává u orgánu, proti jehož usnesení stížnost směřuje, a to do tří dnů od</w:t>
      </w:r>
      <w:r w:rsidR="00EE1DDF">
        <w:rPr>
          <w:rFonts w:eastAsia="Calibri" w:cs="Times New Roman"/>
          <w:strike/>
          <w:szCs w:val="24"/>
        </w:rPr>
        <w:t> </w:t>
      </w:r>
      <w:r w:rsidRPr="003E6AE3">
        <w:rPr>
          <w:rFonts w:eastAsia="Calibri" w:cs="Times New Roman"/>
          <w:strike/>
          <w:szCs w:val="24"/>
        </w:rPr>
        <w:t>oznámení usnesení (</w:t>
      </w:r>
      <w:hyperlink r:id="rId13" w:history="1">
        <w:r w:rsidRPr="003E6AE3">
          <w:rPr>
            <w:rStyle w:val="Hypertextovodkaz"/>
            <w:rFonts w:eastAsia="Calibri" w:cs="Times New Roman"/>
            <w:strike/>
            <w:color w:val="auto"/>
            <w:szCs w:val="24"/>
            <w:u w:val="none"/>
          </w:rPr>
          <w:t>§ 137</w:t>
        </w:r>
      </w:hyperlink>
      <w:r w:rsidRPr="003E6AE3">
        <w:rPr>
          <w:rFonts w:eastAsia="Calibri" w:cs="Times New Roman"/>
          <w:strike/>
          <w:szCs w:val="24"/>
        </w:rPr>
        <w:t>); jestliže se usnesení oznamuje jak obviněnému, tak i jeho opatrovníku nebo obhájci, běží lhůta od toho oznámení, které bylo provedeno nejpozději.</w:t>
      </w:r>
    </w:p>
    <w:p w14:paraId="1680256D" w14:textId="2E961F20" w:rsidR="0090024A" w:rsidRPr="00EE1DDF" w:rsidRDefault="0090024A" w:rsidP="008E1253">
      <w:pPr>
        <w:spacing w:line="240" w:lineRule="auto"/>
        <w:ind w:firstLine="426"/>
        <w:rPr>
          <w:rFonts w:eastAsia="Calibri" w:cs="Times New Roman"/>
          <w:bCs/>
          <w:strike/>
          <w:szCs w:val="24"/>
        </w:rPr>
      </w:pPr>
      <w:r w:rsidRPr="003E6AE3">
        <w:rPr>
          <w:rFonts w:cs="Times New Roman"/>
          <w:b/>
          <w:szCs w:val="24"/>
        </w:rPr>
        <w:t>(1) Stížnost se podává u orgánu, proti jehož usnesení směřuje, a to do 3 dnů od</w:t>
      </w:r>
      <w:r w:rsidR="00EE1DDF">
        <w:rPr>
          <w:rFonts w:cs="Times New Roman"/>
          <w:b/>
          <w:szCs w:val="24"/>
        </w:rPr>
        <w:t> </w:t>
      </w:r>
      <w:r w:rsidRPr="003E6AE3">
        <w:rPr>
          <w:rFonts w:cs="Times New Roman"/>
          <w:b/>
          <w:szCs w:val="24"/>
        </w:rPr>
        <w:t xml:space="preserve">doručení opisu usnesení státnímu zástupci, osobě, které se </w:t>
      </w:r>
      <w:r w:rsidR="0087398F">
        <w:rPr>
          <w:rFonts w:cs="Times New Roman"/>
          <w:b/>
          <w:szCs w:val="24"/>
        </w:rPr>
        <w:t>usnesení</w:t>
      </w:r>
      <w:r w:rsidRPr="003E6AE3">
        <w:rPr>
          <w:rFonts w:cs="Times New Roman"/>
          <w:b/>
          <w:szCs w:val="24"/>
        </w:rPr>
        <w:t xml:space="preserve"> přímo dotýká, a</w:t>
      </w:r>
      <w:r w:rsidR="00BE6F64" w:rsidRPr="003E6AE3">
        <w:rPr>
          <w:rFonts w:cs="Times New Roman"/>
          <w:b/>
          <w:szCs w:val="24"/>
        </w:rPr>
        <w:t> </w:t>
      </w:r>
      <w:r w:rsidRPr="003E6AE3">
        <w:rPr>
          <w:rFonts w:cs="Times New Roman"/>
          <w:b/>
          <w:szCs w:val="24"/>
        </w:rPr>
        <w:t>osobě, která svým návrhem dala k</w:t>
      </w:r>
      <w:r w:rsidR="008C19D9" w:rsidRPr="003E6AE3">
        <w:rPr>
          <w:rFonts w:cs="Times New Roman"/>
          <w:b/>
          <w:szCs w:val="24"/>
        </w:rPr>
        <w:t> </w:t>
      </w:r>
      <w:r w:rsidRPr="003E6AE3">
        <w:rPr>
          <w:rFonts w:cs="Times New Roman"/>
          <w:b/>
          <w:szCs w:val="24"/>
        </w:rPr>
        <w:t>usnesení podnět, a to i když byli při vyhlášení usnesení přítomni. V</w:t>
      </w:r>
      <w:r w:rsidR="008C19D9" w:rsidRPr="003E6AE3">
        <w:rPr>
          <w:rFonts w:cs="Times New Roman"/>
          <w:b/>
          <w:szCs w:val="24"/>
        </w:rPr>
        <w:t> </w:t>
      </w:r>
      <w:r w:rsidRPr="003E6AE3">
        <w:rPr>
          <w:rFonts w:cs="Times New Roman"/>
          <w:b/>
          <w:szCs w:val="24"/>
        </w:rPr>
        <w:t>případech, ve kterých se usnesení nedoručuje, běží lhůta k</w:t>
      </w:r>
      <w:r w:rsidR="008C19D9" w:rsidRPr="003E6AE3">
        <w:rPr>
          <w:rFonts w:cs="Times New Roman"/>
          <w:b/>
          <w:szCs w:val="24"/>
        </w:rPr>
        <w:t> </w:t>
      </w:r>
      <w:r w:rsidRPr="003E6AE3">
        <w:rPr>
          <w:rFonts w:cs="Times New Roman"/>
          <w:b/>
          <w:szCs w:val="24"/>
        </w:rPr>
        <w:t>podání stížnosti od jeho oznámení; jestliže se usnesení oznamuje jak obviněnému, tak i jeho opatrovníku nebo obhájci, běží lhůta od toho oznámení, které bylo provedeno nejpozději.</w:t>
      </w:r>
    </w:p>
    <w:p w14:paraId="0D836369" w14:textId="2F9C5CC9" w:rsidR="0090024A" w:rsidRPr="003E6AE3" w:rsidRDefault="00E6717F" w:rsidP="008E1253">
      <w:pPr>
        <w:spacing w:line="240" w:lineRule="auto"/>
        <w:ind w:firstLine="426"/>
        <w:rPr>
          <w:rFonts w:eastAsia="Calibri" w:cs="Times New Roman"/>
          <w:bCs/>
          <w:szCs w:val="24"/>
        </w:rPr>
      </w:pPr>
      <w:r w:rsidRPr="003E6AE3">
        <w:rPr>
          <w:rFonts w:eastAsia="Calibri" w:cs="Times New Roman"/>
          <w:szCs w:val="24"/>
        </w:rPr>
        <w:t>(2) Osobám, které podle ustanovení </w:t>
      </w:r>
      <w:hyperlink r:id="rId14" w:history="1">
        <w:r w:rsidRPr="003E6AE3">
          <w:rPr>
            <w:rStyle w:val="Hypertextovodkaz"/>
            <w:rFonts w:eastAsia="Calibri" w:cs="Times New Roman"/>
            <w:color w:val="auto"/>
            <w:szCs w:val="24"/>
            <w:u w:val="none"/>
          </w:rPr>
          <w:t>§ 142 odst. 2</w:t>
        </w:r>
      </w:hyperlink>
      <w:r w:rsidRPr="003E6AE3">
        <w:rPr>
          <w:rFonts w:eastAsia="Calibri" w:cs="Times New Roman"/>
          <w:szCs w:val="24"/>
        </w:rPr>
        <w:t> mohou podat stížnost ve prospěch obviněného, končí lhůta k</w:t>
      </w:r>
      <w:r w:rsidR="008C19D9" w:rsidRPr="003E6AE3">
        <w:rPr>
          <w:rFonts w:eastAsia="Calibri" w:cs="Times New Roman"/>
          <w:szCs w:val="24"/>
        </w:rPr>
        <w:t> </w:t>
      </w:r>
      <w:r w:rsidRPr="003E6AE3">
        <w:rPr>
          <w:rFonts w:eastAsia="Calibri" w:cs="Times New Roman"/>
          <w:szCs w:val="24"/>
        </w:rPr>
        <w:t>podání stížnosti týmž dnem jako obviněnému; státnímu zástupci však běží lhůta vždy samostatně.</w:t>
      </w:r>
    </w:p>
    <w:p w14:paraId="2FEC6C92" w14:textId="2F05C3C6" w:rsidR="000E3C51" w:rsidRPr="003E6AE3" w:rsidRDefault="000E3C51" w:rsidP="008E1253">
      <w:pPr>
        <w:pStyle w:val="Nadpis2"/>
        <w:spacing w:before="120" w:after="0" w:line="240" w:lineRule="auto"/>
        <w:jc w:val="center"/>
        <w:rPr>
          <w:rFonts w:ascii="Times New Roman" w:hAnsi="Times New Roman" w:cs="Times New Roman"/>
          <w:color w:val="auto"/>
          <w:sz w:val="24"/>
          <w:szCs w:val="24"/>
        </w:rPr>
      </w:pPr>
      <w:r w:rsidRPr="003E6AE3">
        <w:rPr>
          <w:rFonts w:ascii="Times New Roman" w:hAnsi="Times New Roman" w:cs="Times New Roman"/>
          <w:color w:val="auto"/>
          <w:sz w:val="24"/>
          <w:szCs w:val="24"/>
        </w:rPr>
        <w:t>§ 146a</w:t>
      </w:r>
    </w:p>
    <w:p w14:paraId="1C0DF24F" w14:textId="77777777" w:rsidR="000E3C51" w:rsidRPr="003E6AE3" w:rsidRDefault="000E3C51" w:rsidP="008E1253">
      <w:pPr>
        <w:spacing w:line="240" w:lineRule="auto"/>
        <w:jc w:val="center"/>
        <w:rPr>
          <w:rFonts w:cs="Times New Roman"/>
          <w:szCs w:val="24"/>
        </w:rPr>
      </w:pPr>
      <w:r w:rsidRPr="003E6AE3">
        <w:rPr>
          <w:rFonts w:cs="Times New Roman"/>
          <w:szCs w:val="24"/>
        </w:rPr>
        <w:t>Rozhodování soudu o stížnosti proti rozhodnutím státního zástupce nebo policejního orgánu</w:t>
      </w:r>
    </w:p>
    <w:p w14:paraId="5E158F4C" w14:textId="77777777" w:rsidR="000E3C51" w:rsidRPr="00EE1DDF" w:rsidRDefault="000E3C51" w:rsidP="008E1253">
      <w:pPr>
        <w:spacing w:line="240" w:lineRule="auto"/>
        <w:ind w:firstLine="426"/>
        <w:rPr>
          <w:rFonts w:eastAsia="Calibri" w:cs="Times New Roman"/>
          <w:szCs w:val="24"/>
        </w:rPr>
      </w:pPr>
      <w:r w:rsidRPr="00EE1DDF">
        <w:rPr>
          <w:rFonts w:eastAsia="Calibri" w:cs="Times New Roman"/>
          <w:szCs w:val="24"/>
        </w:rPr>
        <w:t>(1) O stížnosti proti rozhodnutí, kterým státní zástupce</w:t>
      </w:r>
    </w:p>
    <w:p w14:paraId="7C274533" w14:textId="4BE3504A" w:rsidR="000E3C51" w:rsidRPr="003E6AE3" w:rsidRDefault="000E3C51" w:rsidP="008E1253">
      <w:pPr>
        <w:spacing w:line="240" w:lineRule="auto"/>
        <w:ind w:left="284" w:hanging="284"/>
        <w:rPr>
          <w:rFonts w:cs="Times New Roman"/>
          <w:szCs w:val="24"/>
        </w:rPr>
      </w:pPr>
      <w:r w:rsidRPr="003E6AE3">
        <w:rPr>
          <w:rFonts w:cs="Times New Roman"/>
          <w:szCs w:val="24"/>
        </w:rPr>
        <w:t>a) rozhodl o vazbě, nejde-li o rozhodnutí o propuštění obviněného z</w:t>
      </w:r>
      <w:r w:rsidR="008C19D9" w:rsidRPr="003E6AE3">
        <w:rPr>
          <w:rFonts w:cs="Times New Roman"/>
          <w:szCs w:val="24"/>
        </w:rPr>
        <w:t> </w:t>
      </w:r>
      <w:r w:rsidRPr="003E6AE3">
        <w:rPr>
          <w:rFonts w:cs="Times New Roman"/>
          <w:szCs w:val="24"/>
        </w:rPr>
        <w:t>vazby bez přijetí některého opatření nahrazujícího vazbu,</w:t>
      </w:r>
    </w:p>
    <w:p w14:paraId="0996B9A1" w14:textId="5745B99A" w:rsidR="000E3C51" w:rsidRPr="003E6AE3" w:rsidRDefault="000E3C51" w:rsidP="008E1253">
      <w:pPr>
        <w:spacing w:line="240" w:lineRule="auto"/>
        <w:ind w:left="284" w:hanging="284"/>
        <w:rPr>
          <w:rFonts w:cs="Times New Roman"/>
          <w:szCs w:val="24"/>
        </w:rPr>
      </w:pPr>
      <w:r w:rsidRPr="003E6AE3">
        <w:rPr>
          <w:rFonts w:cs="Times New Roman"/>
          <w:szCs w:val="24"/>
        </w:rPr>
        <w:t>b) rozhodl o žádosti o zrušení omezení spočívajícího v</w:t>
      </w:r>
      <w:r w:rsidR="008C19D9" w:rsidRPr="003E6AE3">
        <w:rPr>
          <w:rFonts w:cs="Times New Roman"/>
          <w:szCs w:val="24"/>
        </w:rPr>
        <w:t> </w:t>
      </w:r>
      <w:r w:rsidRPr="003E6AE3">
        <w:rPr>
          <w:rFonts w:cs="Times New Roman"/>
          <w:szCs w:val="24"/>
        </w:rPr>
        <w:t>zákazu vycestování do zahraničí, o</w:t>
      </w:r>
      <w:r w:rsidR="00EE1DDF">
        <w:rPr>
          <w:rFonts w:cs="Times New Roman"/>
          <w:szCs w:val="24"/>
        </w:rPr>
        <w:t> </w:t>
      </w:r>
      <w:r w:rsidRPr="003E6AE3">
        <w:rPr>
          <w:rFonts w:cs="Times New Roman"/>
          <w:szCs w:val="24"/>
        </w:rPr>
        <w:t>uložení předběžného opatření (§ 88m odst. 2), o tom, že se nepovolí setkání obviněného s</w:t>
      </w:r>
      <w:r w:rsidR="008C19D9" w:rsidRPr="003E6AE3">
        <w:rPr>
          <w:rFonts w:cs="Times New Roman"/>
          <w:szCs w:val="24"/>
        </w:rPr>
        <w:t> </w:t>
      </w:r>
      <w:r w:rsidRPr="003E6AE3">
        <w:rPr>
          <w:rFonts w:cs="Times New Roman"/>
          <w:szCs w:val="24"/>
        </w:rPr>
        <w:t>poškozeným, osobou mu blízkou nebo jinou osobou (§ 88d odst. 2), nebo o žádosti o</w:t>
      </w:r>
      <w:r w:rsidR="00EE1DDF">
        <w:rPr>
          <w:rFonts w:cs="Times New Roman"/>
          <w:szCs w:val="24"/>
        </w:rPr>
        <w:t> </w:t>
      </w:r>
      <w:r w:rsidRPr="003E6AE3">
        <w:rPr>
          <w:rFonts w:cs="Times New Roman"/>
          <w:szCs w:val="24"/>
        </w:rPr>
        <w:t>zrušení předběžného opatření (§ 88n odst. 3),</w:t>
      </w:r>
    </w:p>
    <w:p w14:paraId="765C11F4" w14:textId="3F13511F" w:rsidR="000E3C51" w:rsidRPr="003E6AE3" w:rsidRDefault="000E3C51" w:rsidP="008E1253">
      <w:pPr>
        <w:spacing w:line="240" w:lineRule="auto"/>
        <w:ind w:left="284" w:hanging="284"/>
        <w:rPr>
          <w:rFonts w:cs="Times New Roman"/>
          <w:szCs w:val="24"/>
        </w:rPr>
      </w:pPr>
      <w:r w:rsidRPr="003E6AE3">
        <w:rPr>
          <w:rFonts w:cs="Times New Roman"/>
          <w:szCs w:val="24"/>
        </w:rPr>
        <w:t>c) zajistil věc, o níž nasvědčují zjištěné skutečnosti tomu, že je nástrojem trestné činnosti, výnosem z</w:t>
      </w:r>
      <w:r w:rsidR="008C19D9" w:rsidRPr="003E6AE3">
        <w:rPr>
          <w:rFonts w:cs="Times New Roman"/>
          <w:szCs w:val="24"/>
        </w:rPr>
        <w:t> </w:t>
      </w:r>
      <w:r w:rsidRPr="003E6AE3">
        <w:rPr>
          <w:rFonts w:cs="Times New Roman"/>
          <w:szCs w:val="24"/>
        </w:rPr>
        <w:t>trestné činnosti nebo předmětem mezinárodní sankce</w:t>
      </w:r>
      <w:r w:rsidRPr="003E6AE3">
        <w:rPr>
          <w:rFonts w:cs="Times New Roman"/>
          <w:b/>
          <w:color w:val="FF0000"/>
          <w:szCs w:val="24"/>
        </w:rPr>
        <w:t>,</w:t>
      </w:r>
      <w:r w:rsidRPr="003E6AE3">
        <w:rPr>
          <w:rFonts w:cs="Times New Roman"/>
          <w:color w:val="FF0000"/>
          <w:szCs w:val="24"/>
        </w:rPr>
        <w:t xml:space="preserve"> </w:t>
      </w:r>
      <w:r w:rsidRPr="003E6AE3">
        <w:rPr>
          <w:rFonts w:eastAsiaTheme="majorEastAsia" w:cs="Times New Roman"/>
          <w:b/>
          <w:color w:val="FF0000"/>
          <w:szCs w:val="24"/>
        </w:rPr>
        <w:t xml:space="preserve">nebo tomu, že jsou splněny podmínky pro její odčerpání podle zákona o odčerpání majetku </w:t>
      </w:r>
      <w:r w:rsidRPr="003E6AE3">
        <w:rPr>
          <w:rFonts w:eastAsia="Calibri" w:cs="Times New Roman"/>
          <w:b/>
          <w:color w:val="FF0000"/>
          <w:szCs w:val="24"/>
        </w:rPr>
        <w:t>nevysvětleného původu</w:t>
      </w:r>
      <w:r w:rsidRPr="003E6AE3">
        <w:rPr>
          <w:rFonts w:eastAsiaTheme="majorEastAsia" w:cs="Times New Roman"/>
          <w:szCs w:val="24"/>
        </w:rPr>
        <w:t xml:space="preserve">, </w:t>
      </w:r>
      <w:r w:rsidRPr="003E6AE3">
        <w:rPr>
          <w:rFonts w:cs="Times New Roman"/>
          <w:szCs w:val="24"/>
        </w:rPr>
        <w:t>rozhodl o omezení takového zajištění nebo nevyhověl žádosti o</w:t>
      </w:r>
      <w:r w:rsidR="00EE1DDF">
        <w:rPr>
          <w:rFonts w:cs="Times New Roman"/>
          <w:szCs w:val="24"/>
        </w:rPr>
        <w:t> </w:t>
      </w:r>
      <w:r w:rsidRPr="003E6AE3">
        <w:rPr>
          <w:rFonts w:cs="Times New Roman"/>
          <w:szCs w:val="24"/>
        </w:rPr>
        <w:t>zrušení nebo omezení takového zajištění</w:t>
      </w:r>
      <w:r w:rsidRPr="003E6AE3">
        <w:rPr>
          <w:rFonts w:cs="Times New Roman"/>
          <w:b/>
          <w:szCs w:val="24"/>
        </w:rPr>
        <w:t xml:space="preserve"> </w:t>
      </w:r>
      <w:r w:rsidRPr="003E6AE3">
        <w:rPr>
          <w:rFonts w:cs="Times New Roman"/>
          <w:b/>
          <w:color w:val="FF0000"/>
          <w:szCs w:val="24"/>
        </w:rPr>
        <w:t>anebo nepovolil provedení úkonu týkajícího se</w:t>
      </w:r>
      <w:r w:rsidR="00EE1DDF">
        <w:rPr>
          <w:rFonts w:cs="Times New Roman"/>
          <w:b/>
          <w:color w:val="FF0000"/>
          <w:szCs w:val="24"/>
        </w:rPr>
        <w:t xml:space="preserve"> </w:t>
      </w:r>
      <w:r w:rsidRPr="003E6AE3">
        <w:rPr>
          <w:rFonts w:cs="Times New Roman"/>
          <w:b/>
          <w:color w:val="FF0000"/>
          <w:szCs w:val="24"/>
        </w:rPr>
        <w:t>věci zřejmě pocházející z</w:t>
      </w:r>
      <w:r w:rsidR="008C19D9" w:rsidRPr="003E6AE3">
        <w:rPr>
          <w:rFonts w:cs="Times New Roman"/>
          <w:b/>
          <w:color w:val="FF0000"/>
          <w:szCs w:val="24"/>
        </w:rPr>
        <w:t> </w:t>
      </w:r>
      <w:r w:rsidRPr="003E6AE3">
        <w:rPr>
          <w:rFonts w:cs="Times New Roman"/>
          <w:b/>
          <w:color w:val="FF0000"/>
          <w:szCs w:val="24"/>
        </w:rPr>
        <w:t>trestné činnosti</w:t>
      </w:r>
      <w:r w:rsidRPr="003E6AE3">
        <w:rPr>
          <w:rFonts w:cs="Times New Roman"/>
          <w:szCs w:val="24"/>
        </w:rPr>
        <w:t>,</w:t>
      </w:r>
    </w:p>
    <w:p w14:paraId="4529ADE2" w14:textId="77777777" w:rsidR="000E3C51" w:rsidRPr="003E6AE3" w:rsidRDefault="000E3C51" w:rsidP="008E1253">
      <w:pPr>
        <w:spacing w:line="240" w:lineRule="auto"/>
        <w:ind w:left="284" w:hanging="284"/>
        <w:rPr>
          <w:rFonts w:cs="Times New Roman"/>
          <w:szCs w:val="24"/>
        </w:rPr>
      </w:pPr>
      <w:r w:rsidRPr="003E6AE3">
        <w:rPr>
          <w:rFonts w:cs="Times New Roman"/>
          <w:szCs w:val="24"/>
        </w:rPr>
        <w:t>d) zajistil náhradní hodnotu, rozhodl o omezení zajištění náhradní hodnoty, nepovolil provedení úkonu týkajícího se zajištěné náhradní hodnoty, nebo nevyhověl žádosti o zrušení nebo omezení takového zajištění,</w:t>
      </w:r>
    </w:p>
    <w:p w14:paraId="6B0094D6" w14:textId="77777777" w:rsidR="000E3C51" w:rsidRPr="003E6AE3" w:rsidRDefault="000E3C51" w:rsidP="008E1253">
      <w:pPr>
        <w:spacing w:line="240" w:lineRule="auto"/>
        <w:ind w:left="284" w:hanging="284"/>
        <w:rPr>
          <w:rFonts w:cs="Times New Roman"/>
          <w:szCs w:val="24"/>
        </w:rPr>
      </w:pPr>
      <w:r w:rsidRPr="003E6AE3">
        <w:rPr>
          <w:rFonts w:cs="Times New Roman"/>
          <w:szCs w:val="24"/>
        </w:rPr>
        <w:t>e) změnil důvod zajištění věci,</w:t>
      </w:r>
    </w:p>
    <w:p w14:paraId="105AB880" w14:textId="77777777" w:rsidR="000E3C51" w:rsidRPr="003E6AE3" w:rsidRDefault="000E3C51" w:rsidP="008E1253">
      <w:pPr>
        <w:spacing w:line="240" w:lineRule="auto"/>
        <w:ind w:left="284" w:hanging="284"/>
        <w:rPr>
          <w:rFonts w:cs="Times New Roman"/>
          <w:szCs w:val="24"/>
        </w:rPr>
      </w:pPr>
      <w:r w:rsidRPr="003E6AE3">
        <w:rPr>
          <w:rFonts w:cs="Times New Roman"/>
          <w:szCs w:val="24"/>
        </w:rPr>
        <w:t>f) zajistil majetek pro účely zajištění nároku poškozeného nebo rozhodl o omezení zajištění, nepovolil provedení úkonu týkajícího se zajištěného majetku, anebo nevyhověl žádosti o zrušení nebo omezení takového zajištění,</w:t>
      </w:r>
    </w:p>
    <w:p w14:paraId="0364C991" w14:textId="77777777" w:rsidR="000E3C51" w:rsidRPr="003E6AE3" w:rsidRDefault="000E3C51" w:rsidP="008E1253">
      <w:pPr>
        <w:spacing w:line="240" w:lineRule="auto"/>
        <w:ind w:left="284" w:hanging="284"/>
        <w:rPr>
          <w:rFonts w:cs="Times New Roman"/>
          <w:szCs w:val="24"/>
        </w:rPr>
      </w:pPr>
      <w:r w:rsidRPr="003E6AE3">
        <w:rPr>
          <w:rFonts w:cs="Times New Roman"/>
          <w:szCs w:val="24"/>
        </w:rPr>
        <w:t>g) zajistil majetek obviněného pro účely výkonu peněžitého trestu nebo trestu propadnutí majetku, rozhodl o omezení zajištění, nepovolil provedení úkonu týkajícího se zajištěného majetku, anebo nevyhověl žádosti o zrušení nebo omezení takového zajištění,</w:t>
      </w:r>
    </w:p>
    <w:p w14:paraId="4C956298" w14:textId="77777777" w:rsidR="000E3C51" w:rsidRPr="003E6AE3" w:rsidRDefault="000E3C51" w:rsidP="008E1253">
      <w:pPr>
        <w:spacing w:line="240" w:lineRule="auto"/>
        <w:ind w:left="284" w:hanging="284"/>
        <w:rPr>
          <w:rFonts w:cs="Times New Roman"/>
          <w:szCs w:val="24"/>
        </w:rPr>
      </w:pPr>
      <w:r w:rsidRPr="003E6AE3">
        <w:rPr>
          <w:rFonts w:cs="Times New Roman"/>
          <w:szCs w:val="24"/>
        </w:rPr>
        <w:t>h) zajistil majetek pro účely výkonu zabrání části majetku, rozhodl o omezení takového zajištění, nepovolil provedení úkonu týkajícího se zajištěného majetku, anebo nevyhověl žádosti o zrušení nebo omezení takového zajištění,</w:t>
      </w:r>
    </w:p>
    <w:p w14:paraId="19F42D6C" w14:textId="77777777" w:rsidR="000E3C51" w:rsidRPr="003E6AE3" w:rsidRDefault="000E3C51" w:rsidP="008E1253">
      <w:pPr>
        <w:spacing w:line="240" w:lineRule="auto"/>
        <w:ind w:left="284" w:hanging="284"/>
        <w:rPr>
          <w:rFonts w:cs="Times New Roman"/>
          <w:szCs w:val="24"/>
        </w:rPr>
      </w:pPr>
      <w:r w:rsidRPr="003E6AE3">
        <w:rPr>
          <w:rFonts w:cs="Times New Roman"/>
          <w:szCs w:val="24"/>
        </w:rPr>
        <w:t>i) rozhodl o uložení pořádkové pokuty (§ 66 odst. 1),</w:t>
      </w:r>
    </w:p>
    <w:p w14:paraId="477F57A9" w14:textId="08478F7E" w:rsidR="000E3C51" w:rsidRPr="003E6AE3" w:rsidRDefault="000E3C51" w:rsidP="008E1253">
      <w:pPr>
        <w:tabs>
          <w:tab w:val="left" w:pos="426"/>
        </w:tabs>
        <w:spacing w:line="240" w:lineRule="auto"/>
        <w:ind w:left="284" w:hanging="284"/>
        <w:rPr>
          <w:rFonts w:cs="Times New Roman"/>
          <w:szCs w:val="24"/>
        </w:rPr>
      </w:pPr>
      <w:r w:rsidRPr="003E6AE3">
        <w:rPr>
          <w:rFonts w:cs="Times New Roman"/>
          <w:szCs w:val="24"/>
        </w:rPr>
        <w:t xml:space="preserve">j) rozhodl o </w:t>
      </w:r>
      <w:r w:rsidRPr="003E6AE3">
        <w:rPr>
          <w:rFonts w:cs="Times New Roman"/>
          <w:strike/>
          <w:szCs w:val="24"/>
        </w:rPr>
        <w:t>zničení věci ohrožující bezpečnost lidí nebo majetku (§ 81b odst. 1)</w:t>
      </w:r>
      <w:r w:rsidR="002E10FE" w:rsidRPr="003E6AE3">
        <w:rPr>
          <w:rFonts w:cs="Times New Roman"/>
          <w:b/>
          <w:bCs/>
          <w:szCs w:val="24"/>
        </w:rPr>
        <w:t xml:space="preserve"> poměrném rozdělení peněžních prostředků poškozeným podle § 81a odst. 2 nebo o zničení věci podle § 81b odst. 1</w:t>
      </w:r>
      <w:r w:rsidRPr="003E6AE3">
        <w:rPr>
          <w:rFonts w:cs="Times New Roman"/>
          <w:szCs w:val="24"/>
        </w:rPr>
        <w:t>, nebo</w:t>
      </w:r>
    </w:p>
    <w:p w14:paraId="7B52B68C" w14:textId="77777777" w:rsidR="000E3C51" w:rsidRPr="003E6AE3" w:rsidRDefault="000E3C51" w:rsidP="008E1253">
      <w:pPr>
        <w:spacing w:line="240" w:lineRule="auto"/>
        <w:ind w:left="284" w:hanging="284"/>
        <w:rPr>
          <w:rFonts w:cs="Times New Roman"/>
          <w:szCs w:val="24"/>
        </w:rPr>
      </w:pPr>
      <w:r w:rsidRPr="003E6AE3">
        <w:rPr>
          <w:rFonts w:cs="Times New Roman"/>
          <w:szCs w:val="24"/>
        </w:rPr>
        <w:t>k) rozhodl o nesplnění podmínek podle § 159c odst. 1,</w:t>
      </w:r>
    </w:p>
    <w:p w14:paraId="5A9830B8" w14:textId="77777777" w:rsidR="00EE1DDF" w:rsidRDefault="000E3C51" w:rsidP="008E1253">
      <w:pPr>
        <w:spacing w:line="240" w:lineRule="auto"/>
        <w:rPr>
          <w:rFonts w:cs="Times New Roman"/>
          <w:szCs w:val="24"/>
        </w:rPr>
      </w:pPr>
      <w:r w:rsidRPr="003E6AE3">
        <w:rPr>
          <w:rFonts w:cs="Times New Roman"/>
          <w:szCs w:val="24"/>
        </w:rPr>
        <w:t>rozhoduje zpravidla do pěti dnů po uplynutí lhůty k</w:t>
      </w:r>
      <w:r w:rsidR="008C19D9" w:rsidRPr="003E6AE3">
        <w:rPr>
          <w:rFonts w:cs="Times New Roman"/>
          <w:szCs w:val="24"/>
        </w:rPr>
        <w:t> </w:t>
      </w:r>
      <w:r w:rsidRPr="003E6AE3">
        <w:rPr>
          <w:rFonts w:cs="Times New Roman"/>
          <w:szCs w:val="24"/>
        </w:rPr>
        <w:t>podání stížnosti všem oprávněným osobám soud, v</w:t>
      </w:r>
      <w:r w:rsidR="008C19D9" w:rsidRPr="003E6AE3">
        <w:rPr>
          <w:rFonts w:cs="Times New Roman"/>
          <w:szCs w:val="24"/>
        </w:rPr>
        <w:t> </w:t>
      </w:r>
      <w:r w:rsidRPr="003E6AE3">
        <w:rPr>
          <w:rFonts w:cs="Times New Roman"/>
          <w:szCs w:val="24"/>
        </w:rPr>
        <w:t xml:space="preserve">jehož obvodu je činný státní zástupce, který napadené rozhodnutí vydal; vydal-li napadené </w:t>
      </w:r>
      <w:r w:rsidRPr="00EE1DDF">
        <w:rPr>
          <w:rFonts w:eastAsia="Calibri" w:cs="Times New Roman"/>
          <w:szCs w:val="24"/>
        </w:rPr>
        <w:t>rozhodnutí</w:t>
      </w:r>
      <w:r w:rsidRPr="003E6AE3">
        <w:rPr>
          <w:rFonts w:cs="Times New Roman"/>
          <w:szCs w:val="24"/>
        </w:rPr>
        <w:t xml:space="preserve"> evropský žalobce, rozhoduje soud, v</w:t>
      </w:r>
      <w:r w:rsidR="008C19D9" w:rsidRPr="003E6AE3">
        <w:rPr>
          <w:rFonts w:cs="Times New Roman"/>
          <w:szCs w:val="24"/>
        </w:rPr>
        <w:t> </w:t>
      </w:r>
      <w:r w:rsidRPr="003E6AE3">
        <w:rPr>
          <w:rFonts w:cs="Times New Roman"/>
          <w:szCs w:val="24"/>
        </w:rPr>
        <w:t>jehož obvodu by byl činný evropský pověřený žalobce, který by byl jinak příslušný k</w:t>
      </w:r>
      <w:r w:rsidR="008C19D9" w:rsidRPr="003E6AE3">
        <w:rPr>
          <w:rFonts w:cs="Times New Roman"/>
          <w:szCs w:val="24"/>
        </w:rPr>
        <w:t> </w:t>
      </w:r>
      <w:r w:rsidRPr="003E6AE3">
        <w:rPr>
          <w:rFonts w:cs="Times New Roman"/>
          <w:szCs w:val="24"/>
        </w:rPr>
        <w:t>výkonu dozoru nad zachováváním zákonnosti v</w:t>
      </w:r>
      <w:r w:rsidR="008C19D9" w:rsidRPr="003E6AE3">
        <w:rPr>
          <w:rFonts w:cs="Times New Roman"/>
          <w:szCs w:val="24"/>
        </w:rPr>
        <w:t> </w:t>
      </w:r>
      <w:r w:rsidRPr="003E6AE3">
        <w:rPr>
          <w:rFonts w:cs="Times New Roman"/>
          <w:szCs w:val="24"/>
        </w:rPr>
        <w:t>přípravném řízení.</w:t>
      </w:r>
    </w:p>
    <w:p w14:paraId="2ADB08C6" w14:textId="61D130FF" w:rsidR="000E3C51" w:rsidRDefault="00E45958" w:rsidP="008E1253">
      <w:pPr>
        <w:spacing w:line="240" w:lineRule="auto"/>
        <w:ind w:firstLine="426"/>
        <w:rPr>
          <w:rFonts w:cs="Times New Roman"/>
          <w:szCs w:val="24"/>
        </w:rPr>
      </w:pPr>
      <w:r w:rsidRPr="00EE1DDF">
        <w:rPr>
          <w:rFonts w:eastAsia="Calibri" w:cs="Times New Roman"/>
          <w:szCs w:val="24"/>
        </w:rPr>
        <w:t xml:space="preserve">(2) </w:t>
      </w:r>
      <w:r w:rsidR="000E3C51" w:rsidRPr="00EE1DDF">
        <w:rPr>
          <w:rFonts w:eastAsia="Calibri" w:cs="Times New Roman"/>
          <w:szCs w:val="24"/>
        </w:rPr>
        <w:t>O stížnosti proti rozhodnutí policejního orgánu, kterým rozhodl o uložení pořádkové pokuty, změnil důvod zajištění věci, zajistil věc, o níž nasvědčují zjištěné skutečnosti tomu, že</w:t>
      </w:r>
      <w:r w:rsidR="00A2188C">
        <w:rPr>
          <w:rFonts w:eastAsia="Calibri" w:cs="Times New Roman"/>
          <w:szCs w:val="24"/>
        </w:rPr>
        <w:t> </w:t>
      </w:r>
      <w:r w:rsidR="000E3C51" w:rsidRPr="00EE1DDF">
        <w:rPr>
          <w:rFonts w:eastAsia="Calibri" w:cs="Times New Roman"/>
          <w:szCs w:val="24"/>
        </w:rPr>
        <w:t>je nástrojem trestné činnosti, výnosem z</w:t>
      </w:r>
      <w:r w:rsidR="008C19D9" w:rsidRPr="00EE1DDF">
        <w:rPr>
          <w:rFonts w:eastAsia="Calibri" w:cs="Times New Roman"/>
          <w:szCs w:val="24"/>
        </w:rPr>
        <w:t> </w:t>
      </w:r>
      <w:r w:rsidR="000E3C51" w:rsidRPr="00EE1DDF">
        <w:rPr>
          <w:rFonts w:eastAsia="Calibri" w:cs="Times New Roman"/>
          <w:szCs w:val="24"/>
        </w:rPr>
        <w:t xml:space="preserve">trestné činnosti nebo předmětem mezinárodní </w:t>
      </w:r>
      <w:r w:rsidR="000E3C51" w:rsidRPr="003E6AE3">
        <w:rPr>
          <w:rFonts w:cs="Times New Roman"/>
          <w:szCs w:val="24"/>
        </w:rPr>
        <w:t>sankce</w:t>
      </w:r>
      <w:r w:rsidR="000E3C51" w:rsidRPr="003E6AE3">
        <w:rPr>
          <w:rFonts w:cs="Times New Roman"/>
          <w:b/>
          <w:color w:val="FF0000"/>
          <w:szCs w:val="24"/>
        </w:rPr>
        <w:t>,</w:t>
      </w:r>
      <w:r w:rsidR="000E3C51" w:rsidRPr="003E6AE3">
        <w:rPr>
          <w:rFonts w:cs="Times New Roman"/>
          <w:color w:val="FF0000"/>
          <w:szCs w:val="24"/>
        </w:rPr>
        <w:t xml:space="preserve"> </w:t>
      </w:r>
      <w:r w:rsidR="000E3C51" w:rsidRPr="003E6AE3">
        <w:rPr>
          <w:rFonts w:cs="Times New Roman"/>
          <w:b/>
          <w:color w:val="FF0000"/>
          <w:szCs w:val="24"/>
        </w:rPr>
        <w:t xml:space="preserve">nebo tomu, že jsou splněny podmínky pro její odčerpání podle zákona o odčerpání majetku </w:t>
      </w:r>
      <w:r w:rsidR="000E3C51" w:rsidRPr="003E6AE3">
        <w:rPr>
          <w:rFonts w:eastAsia="Calibri" w:cs="Times New Roman"/>
          <w:b/>
          <w:color w:val="FF0000"/>
          <w:szCs w:val="24"/>
        </w:rPr>
        <w:t>nevysvětleného původu</w:t>
      </w:r>
      <w:r w:rsidR="000E3C51" w:rsidRPr="003E6AE3">
        <w:rPr>
          <w:rFonts w:cs="Times New Roman"/>
          <w:szCs w:val="24"/>
        </w:rPr>
        <w:t xml:space="preserve">, rozhodl o omezení takového </w:t>
      </w:r>
      <w:bookmarkStart w:id="25" w:name="_Hlk205276869"/>
      <w:r w:rsidR="000E3C51" w:rsidRPr="003E6AE3">
        <w:rPr>
          <w:rFonts w:cs="Times New Roman"/>
          <w:szCs w:val="24"/>
        </w:rPr>
        <w:t>zajištění nebo nevyhověl žádosti o zrušení nebo omezení takového zajištění</w:t>
      </w:r>
      <w:bookmarkEnd w:id="25"/>
      <w:r w:rsidR="000E3C51" w:rsidRPr="003E6AE3">
        <w:rPr>
          <w:rFonts w:cs="Times New Roman"/>
          <w:szCs w:val="24"/>
        </w:rPr>
        <w:t>, zajistil náhradní hodnotu, rozhodl o omezení zajištění náhradní hodnoty nebo nevyhověl žádosti o zrušení nebo omezení takového zajištění</w:t>
      </w:r>
      <w:r w:rsidR="00712634" w:rsidRPr="003E6AE3">
        <w:rPr>
          <w:rFonts w:cs="Times New Roman"/>
          <w:b/>
          <w:bCs/>
          <w:szCs w:val="24"/>
        </w:rPr>
        <w:t xml:space="preserve">, </w:t>
      </w:r>
      <w:r w:rsidR="00712634" w:rsidRPr="003E6AE3">
        <w:rPr>
          <w:rFonts w:eastAsia="Calibri" w:cs="Times New Roman"/>
          <w:b/>
          <w:bCs/>
          <w:szCs w:val="24"/>
        </w:rPr>
        <w:t xml:space="preserve">rozhodl o poměrném rozdělení peněžních prostředků </w:t>
      </w:r>
      <w:r w:rsidR="00712634" w:rsidRPr="003E6AE3">
        <w:rPr>
          <w:rFonts w:eastAsia="Calibri" w:cs="Times New Roman"/>
          <w:b/>
          <w:bCs/>
          <w:szCs w:val="24"/>
          <w:lang w:eastAsia="cs-CZ"/>
        </w:rPr>
        <w:t>poškozeným</w:t>
      </w:r>
      <w:r w:rsidR="00712634" w:rsidRPr="003E6AE3">
        <w:rPr>
          <w:rFonts w:eastAsia="Calibri" w:cs="Times New Roman"/>
          <w:b/>
          <w:bCs/>
          <w:szCs w:val="24"/>
        </w:rPr>
        <w:t xml:space="preserve"> anebo </w:t>
      </w:r>
      <w:r w:rsidR="00712634" w:rsidRPr="003E6AE3">
        <w:rPr>
          <w:rFonts w:cs="Times New Roman"/>
          <w:b/>
          <w:bCs/>
          <w:szCs w:val="24"/>
        </w:rPr>
        <w:t>nevyhověl návrhu na vynětí listin nebo jiných záznamů zachycujících důvěrnou komunikaci ze spisu</w:t>
      </w:r>
      <w:r w:rsidR="000E3C51" w:rsidRPr="003E6AE3">
        <w:rPr>
          <w:rFonts w:cs="Times New Roman"/>
          <w:szCs w:val="24"/>
        </w:rPr>
        <w:t>, rozhoduje ve lhůtě uvedené v</w:t>
      </w:r>
      <w:r w:rsidR="008C19D9" w:rsidRPr="003E6AE3">
        <w:rPr>
          <w:rFonts w:cs="Times New Roman"/>
          <w:szCs w:val="24"/>
        </w:rPr>
        <w:t> </w:t>
      </w:r>
      <w:r w:rsidR="000E3C51" w:rsidRPr="003E6AE3">
        <w:rPr>
          <w:rFonts w:cs="Times New Roman"/>
          <w:szCs w:val="24"/>
        </w:rPr>
        <w:t>odstavci 1 soud, v</w:t>
      </w:r>
      <w:r w:rsidR="008C19D9" w:rsidRPr="003E6AE3">
        <w:rPr>
          <w:rFonts w:cs="Times New Roman"/>
          <w:szCs w:val="24"/>
        </w:rPr>
        <w:t> </w:t>
      </w:r>
      <w:r w:rsidR="000E3C51" w:rsidRPr="003E6AE3">
        <w:rPr>
          <w:rFonts w:cs="Times New Roman"/>
          <w:szCs w:val="24"/>
        </w:rPr>
        <w:t>jehož obvodu je činný státní zástupce, který ve</w:t>
      </w:r>
      <w:r w:rsidR="00B374B8">
        <w:rPr>
          <w:rFonts w:cs="Times New Roman"/>
          <w:szCs w:val="24"/>
        </w:rPr>
        <w:t> </w:t>
      </w:r>
      <w:r w:rsidR="000E3C51" w:rsidRPr="003E6AE3">
        <w:rPr>
          <w:rFonts w:cs="Times New Roman"/>
          <w:szCs w:val="24"/>
        </w:rPr>
        <w:t>věci vykonává dozor nad zachováváním zákonnosti v</w:t>
      </w:r>
      <w:r w:rsidR="008C19D9" w:rsidRPr="003E6AE3">
        <w:rPr>
          <w:rFonts w:cs="Times New Roman"/>
          <w:szCs w:val="24"/>
        </w:rPr>
        <w:t> </w:t>
      </w:r>
      <w:r w:rsidR="000E3C51" w:rsidRPr="003E6AE3">
        <w:rPr>
          <w:rFonts w:cs="Times New Roman"/>
          <w:szCs w:val="24"/>
        </w:rPr>
        <w:t>přípravném řízení; vykonává-li dozor nad zachováváním zákonnosti v</w:t>
      </w:r>
      <w:r w:rsidR="008C19D9" w:rsidRPr="003E6AE3">
        <w:rPr>
          <w:rFonts w:cs="Times New Roman"/>
          <w:szCs w:val="24"/>
        </w:rPr>
        <w:t> </w:t>
      </w:r>
      <w:r w:rsidR="000E3C51" w:rsidRPr="003E6AE3">
        <w:rPr>
          <w:rFonts w:cs="Times New Roman"/>
          <w:szCs w:val="24"/>
        </w:rPr>
        <w:t>přípravném řízení evropský žalobce, rozhoduje soud, v</w:t>
      </w:r>
      <w:r w:rsidR="008C19D9" w:rsidRPr="003E6AE3">
        <w:rPr>
          <w:rFonts w:cs="Times New Roman"/>
          <w:szCs w:val="24"/>
        </w:rPr>
        <w:t> </w:t>
      </w:r>
      <w:r w:rsidR="000E3C51" w:rsidRPr="003E6AE3">
        <w:rPr>
          <w:rFonts w:cs="Times New Roman"/>
          <w:szCs w:val="24"/>
        </w:rPr>
        <w:t>jehož obvodu by byl činný evropský pověřený žalobce, který by byl jinak příslušný k</w:t>
      </w:r>
      <w:r w:rsidR="008C19D9" w:rsidRPr="003E6AE3">
        <w:rPr>
          <w:rFonts w:cs="Times New Roman"/>
          <w:szCs w:val="24"/>
        </w:rPr>
        <w:t> </w:t>
      </w:r>
      <w:r w:rsidR="000E3C51" w:rsidRPr="003E6AE3">
        <w:rPr>
          <w:rFonts w:cs="Times New Roman"/>
          <w:szCs w:val="24"/>
        </w:rPr>
        <w:t>výkonu dozoru nad zachováváním zákonnosti v</w:t>
      </w:r>
      <w:r w:rsidR="008C19D9" w:rsidRPr="003E6AE3">
        <w:rPr>
          <w:rFonts w:cs="Times New Roman"/>
          <w:szCs w:val="24"/>
        </w:rPr>
        <w:t> </w:t>
      </w:r>
      <w:r w:rsidR="000E3C51" w:rsidRPr="003E6AE3">
        <w:rPr>
          <w:rFonts w:cs="Times New Roman"/>
          <w:szCs w:val="24"/>
        </w:rPr>
        <w:t>přípravném řízení. Věc předkládá soudu k</w:t>
      </w:r>
      <w:r w:rsidR="008C19D9" w:rsidRPr="003E6AE3">
        <w:rPr>
          <w:rFonts w:cs="Times New Roman"/>
          <w:szCs w:val="24"/>
        </w:rPr>
        <w:t> </w:t>
      </w:r>
      <w:r w:rsidR="000E3C51" w:rsidRPr="003E6AE3">
        <w:rPr>
          <w:rFonts w:cs="Times New Roman"/>
          <w:szCs w:val="24"/>
        </w:rPr>
        <w:t>rozhodnutí státní zástupce.</w:t>
      </w:r>
    </w:p>
    <w:p w14:paraId="1EE2F425" w14:textId="1C2D643C" w:rsidR="00667C83" w:rsidRDefault="00667C83" w:rsidP="00667C83">
      <w:pPr>
        <w:spacing w:line="240" w:lineRule="auto"/>
        <w:jc w:val="center"/>
        <w:rPr>
          <w:rFonts w:cs="Times New Roman"/>
          <w:szCs w:val="24"/>
        </w:rPr>
      </w:pPr>
      <w:r>
        <w:rPr>
          <w:rFonts w:cs="Times New Roman"/>
          <w:szCs w:val="24"/>
        </w:rPr>
        <w:t>§ 158</w:t>
      </w:r>
    </w:p>
    <w:p w14:paraId="3FB00EDF"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(1) Policejní orgán je povinen na základě vlastních poznatků, trestních oznámení i podnětů jiných osob a orgánů, na jejichž podkladě lze učinit závěr o podezření ze spáchání trestného činu, učinit všechna potřebná šetření a opatření k odhalení skutečností nasvědčujících tomu, že byl spáchán trestný čin, a směřující ke zjištění jeho pachatele; je povinen činit též nezbytná opatření k předcházení trestné činnosti. Policejní orgán informuje státního zástupce o skutečnostech nasvědčujících tomu, že byl spáchán trestný čin, u něhož by Úřad evropského veřejného žalobce mohl vykonat svou pravomoc v souladu s </w:t>
      </w:r>
      <w:hyperlink r:id="rId15" w:history="1">
        <w:r w:rsidRPr="00667C83">
          <w:rPr>
            <w:rStyle w:val="Hypertextovodkaz"/>
            <w:rFonts w:eastAsia="Calibri" w:cs="Times New Roman"/>
            <w:color w:val="auto"/>
            <w:szCs w:val="24"/>
            <w:u w:val="none"/>
          </w:rPr>
          <w:t>čl. 22</w:t>
        </w:r>
      </w:hyperlink>
      <w:r w:rsidRPr="00667C83">
        <w:rPr>
          <w:rFonts w:eastAsia="Calibri" w:cs="Times New Roman"/>
          <w:szCs w:val="24"/>
        </w:rPr>
        <w:t> a </w:t>
      </w:r>
      <w:hyperlink r:id="rId16" w:history="1">
        <w:r w:rsidRPr="00667C83">
          <w:rPr>
            <w:rStyle w:val="Hypertextovodkaz"/>
            <w:rFonts w:eastAsia="Calibri" w:cs="Times New Roman"/>
            <w:color w:val="auto"/>
            <w:szCs w:val="24"/>
            <w:u w:val="none"/>
          </w:rPr>
          <w:t>čl. 25 odst. 2</w:t>
        </w:r>
      </w:hyperlink>
      <w:r w:rsidRPr="00667C83">
        <w:rPr>
          <w:rFonts w:eastAsia="Calibri" w:cs="Times New Roman"/>
          <w:szCs w:val="24"/>
        </w:rPr>
        <w:t> a </w:t>
      </w:r>
      <w:hyperlink r:id="rId17" w:history="1">
        <w:r w:rsidRPr="00667C83">
          <w:rPr>
            <w:rStyle w:val="Hypertextovodkaz"/>
            <w:rFonts w:eastAsia="Calibri" w:cs="Times New Roman"/>
            <w:color w:val="auto"/>
            <w:szCs w:val="24"/>
            <w:u w:val="none"/>
          </w:rPr>
          <w:t>3</w:t>
        </w:r>
      </w:hyperlink>
      <w:r w:rsidRPr="00667C83">
        <w:rPr>
          <w:rFonts w:eastAsia="Calibri" w:cs="Times New Roman"/>
          <w:szCs w:val="24"/>
        </w:rPr>
        <w:t> nařízení Rady (EU) </w:t>
      </w:r>
      <w:hyperlink r:id="rId18" w:history="1">
        <w:r w:rsidRPr="00667C83">
          <w:rPr>
            <w:rStyle w:val="Hypertextovodkaz"/>
            <w:rFonts w:eastAsia="Calibri" w:cs="Times New Roman"/>
            <w:color w:val="auto"/>
            <w:szCs w:val="24"/>
            <w:u w:val="none"/>
          </w:rPr>
          <w:t>2017/1939</w:t>
        </w:r>
      </w:hyperlink>
      <w:r w:rsidRPr="00667C83">
        <w:rPr>
          <w:rFonts w:eastAsia="Calibri" w:cs="Times New Roman"/>
          <w:szCs w:val="24"/>
        </w:rPr>
        <w:t>. Pověřené orgány Vězeňské služby České republiky neprodleně informují Generální inspekci bezpečnostních sborů, jakmile zahájí takové šetření.</w:t>
      </w:r>
    </w:p>
    <w:p w14:paraId="6037518F"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(2) Oznámení o skutečnostech nasvědčujících tomu, že byl spáchán trestný čin, je povinen přijímat státní zástupce a policejní orgán. Přitom je povinen oznamovatele poučit o odpovědnosti za vědomě nepravdivé údaje, a pokud o to oznamovatel požádá, do jednoho měsíce od oznámení jej vyrozumět o učiněných opatřeních.</w:t>
      </w:r>
    </w:p>
    <w:p w14:paraId="4540BEE7"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(3) O zahájení úkonů trestního řízení k objasnění a prověření skutečností důvodně nasvědčujících tomu, že byl spáchán trestný čin, sepíše policejní orgán neprodleně záznam, ve kterém uvede skutkové okolnosti, pro které řízení zahajuje, a způsob, jakým se o nich dověděl. Opis záznamu zašle do 48 hodin od zahájení trestního řízení státnímu zástupci. Hrozí-li nebezpečí z prodlení, policejní orgán záznam sepíše po provedení potřebných neodkladných a neopakovatelných úkonů. K objasnění a prověření skutečností důvodně nasvědčujících tomu, že byl spáchán trestný čin, opatřuje policejní orgán potřebné podklady a nezbytná vysvětlení a zajišťuje stopy trestného činu. V rámci toho je oprávněn, kromě úkonů uvedených v této hlavě, zejména</w:t>
      </w:r>
    </w:p>
    <w:p w14:paraId="5FE88998" w14:textId="77777777" w:rsidR="00667C83" w:rsidRPr="00667C83" w:rsidRDefault="00667C83" w:rsidP="00667C83">
      <w:pPr>
        <w:spacing w:line="240" w:lineRule="auto"/>
        <w:rPr>
          <w:rFonts w:eastAsia="Calibri" w:cs="Times New Roman"/>
          <w:szCs w:val="24"/>
        </w:rPr>
      </w:pPr>
      <w:r w:rsidRPr="00667C83">
        <w:rPr>
          <w:rFonts w:eastAsia="Calibri" w:cs="Times New Roman"/>
          <w:szCs w:val="24"/>
        </w:rPr>
        <w:t>a) vyžadovat vysvětlení od fyzických a právnických osob a státních orgánů,</w:t>
      </w:r>
    </w:p>
    <w:p w14:paraId="76F378B6" w14:textId="77777777" w:rsidR="00667C83" w:rsidRPr="00667C83" w:rsidRDefault="00667C83" w:rsidP="00667C83">
      <w:pPr>
        <w:spacing w:line="240" w:lineRule="auto"/>
        <w:ind w:left="284" w:hanging="284"/>
        <w:rPr>
          <w:rFonts w:eastAsia="Calibri" w:cs="Times New Roman"/>
          <w:szCs w:val="24"/>
        </w:rPr>
      </w:pPr>
      <w:r w:rsidRPr="00667C83">
        <w:rPr>
          <w:rFonts w:eastAsia="Calibri" w:cs="Times New Roman"/>
          <w:szCs w:val="24"/>
        </w:rPr>
        <w:t>b) vyžadovat odborné vyjádření od příslušných orgánů, a je-li toho pro posouzení věci třeba, též znalecké posudky,</w:t>
      </w:r>
    </w:p>
    <w:p w14:paraId="756ADEEA" w14:textId="77777777" w:rsidR="00667C83" w:rsidRPr="00667C83" w:rsidRDefault="00667C83" w:rsidP="00667C83">
      <w:pPr>
        <w:spacing w:line="240" w:lineRule="auto"/>
        <w:rPr>
          <w:rFonts w:eastAsia="Calibri" w:cs="Times New Roman"/>
          <w:szCs w:val="24"/>
        </w:rPr>
      </w:pPr>
      <w:r w:rsidRPr="00667C83">
        <w:rPr>
          <w:rFonts w:eastAsia="Calibri" w:cs="Times New Roman"/>
          <w:szCs w:val="24"/>
        </w:rPr>
        <w:t>c) obstarávat potřebné podklady, zejména spisy a jiné písemné materiály,</w:t>
      </w:r>
    </w:p>
    <w:p w14:paraId="1FF6C081" w14:textId="77777777" w:rsidR="00667C83" w:rsidRPr="00667C83" w:rsidRDefault="00667C83" w:rsidP="00667C83">
      <w:pPr>
        <w:spacing w:line="240" w:lineRule="auto"/>
        <w:rPr>
          <w:rFonts w:eastAsia="Calibri" w:cs="Times New Roman"/>
          <w:szCs w:val="24"/>
        </w:rPr>
      </w:pPr>
      <w:r w:rsidRPr="00667C83">
        <w:rPr>
          <w:rFonts w:eastAsia="Calibri" w:cs="Times New Roman"/>
          <w:szCs w:val="24"/>
        </w:rPr>
        <w:t>d) provádět ohledání věci a místa činu,</w:t>
      </w:r>
    </w:p>
    <w:p w14:paraId="5843D454" w14:textId="77777777" w:rsidR="00667C83" w:rsidRPr="00667C83" w:rsidRDefault="00667C83" w:rsidP="00667C83">
      <w:pPr>
        <w:spacing w:line="240" w:lineRule="auto"/>
        <w:ind w:left="284" w:hanging="284"/>
        <w:rPr>
          <w:rFonts w:eastAsia="Calibri" w:cs="Times New Roman"/>
          <w:szCs w:val="24"/>
        </w:rPr>
      </w:pPr>
      <w:r w:rsidRPr="00667C83">
        <w:rPr>
          <w:rFonts w:eastAsia="Calibri" w:cs="Times New Roman"/>
          <w:szCs w:val="24"/>
        </w:rPr>
        <w:t>e) vyžadovat za podmínek uvedených v </w:t>
      </w:r>
      <w:hyperlink r:id="rId19" w:history="1">
        <w:r w:rsidRPr="00667C83">
          <w:t>§ 114</w:t>
        </w:r>
      </w:hyperlink>
      <w:r w:rsidRPr="00667C83">
        <w:rPr>
          <w:rFonts w:eastAsia="Calibri" w:cs="Times New Roman"/>
          <w:szCs w:val="24"/>
        </w:rPr>
        <w:t> provedení zkoušky krve nebo jiného podobného úkonu, včetně odběru potřebného biologického materiálu,</w:t>
      </w:r>
    </w:p>
    <w:p w14:paraId="3D356E96" w14:textId="77777777" w:rsidR="00667C83" w:rsidRPr="00667C83" w:rsidRDefault="00667C83" w:rsidP="00667C83">
      <w:pPr>
        <w:spacing w:line="240" w:lineRule="auto"/>
        <w:ind w:left="284" w:hanging="284"/>
        <w:rPr>
          <w:rFonts w:eastAsia="Calibri" w:cs="Times New Roman"/>
          <w:szCs w:val="24"/>
        </w:rPr>
      </w:pPr>
      <w:r w:rsidRPr="00667C83">
        <w:rPr>
          <w:rFonts w:eastAsia="Calibri" w:cs="Times New Roman"/>
          <w:szCs w:val="24"/>
        </w:rPr>
        <w:t>f) pořizovat zvukové a obrazové záznamy osob, za podmínek stanovených v </w:t>
      </w:r>
      <w:hyperlink r:id="rId20" w:history="1">
        <w:r w:rsidRPr="00667C83">
          <w:t>§ 114</w:t>
        </w:r>
      </w:hyperlink>
      <w:r w:rsidRPr="00667C83">
        <w:rPr>
          <w:rFonts w:eastAsia="Calibri" w:cs="Times New Roman"/>
          <w:szCs w:val="24"/>
        </w:rPr>
        <w:t> snímat daktyloskopické otisky, provádět osobou téhož pohlaví nebo lékařem prohlídku těla a jeho zevní měření, jestliže je to nutné ke zjištění totožnosti osoby nebo ke zjištění a zachycení stop nebo následků činu,</w:t>
      </w:r>
    </w:p>
    <w:p w14:paraId="45E042B0" w14:textId="77777777" w:rsidR="00667C83" w:rsidRPr="00667C83" w:rsidRDefault="00667C83" w:rsidP="00667C83">
      <w:pPr>
        <w:spacing w:line="240" w:lineRule="auto"/>
        <w:ind w:left="284" w:hanging="284"/>
        <w:rPr>
          <w:rFonts w:eastAsia="Calibri" w:cs="Times New Roman"/>
          <w:szCs w:val="24"/>
        </w:rPr>
      </w:pPr>
      <w:r w:rsidRPr="00667C83">
        <w:rPr>
          <w:rFonts w:eastAsia="Calibri" w:cs="Times New Roman"/>
          <w:szCs w:val="24"/>
        </w:rPr>
        <w:t>g) za podmínek stanovených v </w:t>
      </w:r>
      <w:hyperlink r:id="rId21" w:history="1">
        <w:r w:rsidRPr="00667C83">
          <w:t>§ 76</w:t>
        </w:r>
      </w:hyperlink>
      <w:r w:rsidRPr="00667C83">
        <w:rPr>
          <w:rFonts w:eastAsia="Calibri" w:cs="Times New Roman"/>
          <w:szCs w:val="24"/>
        </w:rPr>
        <w:t> zadržet podezřelou osobu,</w:t>
      </w:r>
    </w:p>
    <w:p w14:paraId="476B3DBE" w14:textId="77777777" w:rsidR="00667C83" w:rsidRPr="00667C83" w:rsidRDefault="00667C83" w:rsidP="00667C83">
      <w:pPr>
        <w:spacing w:line="240" w:lineRule="auto"/>
        <w:ind w:left="284" w:hanging="284"/>
        <w:rPr>
          <w:rFonts w:eastAsia="Calibri" w:cs="Times New Roman"/>
          <w:szCs w:val="24"/>
        </w:rPr>
      </w:pPr>
      <w:r w:rsidRPr="00667C83">
        <w:rPr>
          <w:rFonts w:eastAsia="Calibri" w:cs="Times New Roman"/>
          <w:szCs w:val="24"/>
        </w:rPr>
        <w:t>h) za podmínek stanovených v </w:t>
      </w:r>
      <w:hyperlink r:id="rId22" w:history="1">
        <w:r w:rsidRPr="00667C83">
          <w:t>§ 78 až 81</w:t>
        </w:r>
      </w:hyperlink>
      <w:r w:rsidRPr="00667C83">
        <w:rPr>
          <w:rFonts w:eastAsia="Calibri" w:cs="Times New Roman"/>
          <w:szCs w:val="24"/>
        </w:rPr>
        <w:t> činit rozhodnutí a opatření v těchto ustanoveních naznačená,</w:t>
      </w:r>
    </w:p>
    <w:p w14:paraId="782C79C3" w14:textId="77777777" w:rsidR="00667C83" w:rsidRPr="00667C83" w:rsidRDefault="00667C83" w:rsidP="00667C83">
      <w:pPr>
        <w:spacing w:line="240" w:lineRule="auto"/>
        <w:ind w:left="284" w:hanging="284"/>
        <w:rPr>
          <w:rFonts w:eastAsia="Calibri" w:cs="Times New Roman"/>
          <w:szCs w:val="24"/>
        </w:rPr>
      </w:pPr>
      <w:r w:rsidRPr="00667C83">
        <w:rPr>
          <w:rFonts w:eastAsia="Calibri" w:cs="Times New Roman"/>
          <w:szCs w:val="24"/>
        </w:rPr>
        <w:t>i) způsobem uvedeným v hlavě čtvrté provádět neodkladné nebo neopakovatelné úkony, pokud podle tohoto zákona jejich provedení nepatří do výlučné pravomoci jiného orgánu činného v trestním řízení.</w:t>
      </w:r>
    </w:p>
    <w:p w14:paraId="5D482294"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(4) Jednotlivé úkony trestního řízení k objasnění a prověření skutečností důvodně nasvědčujících tomu, že byl spáchán trestný čin, mohou na základě dožádání provést i jiné policejní orgány.</w:t>
      </w:r>
    </w:p>
    <w:p w14:paraId="3363619B"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(5) Při podání vysvětlení má každý právo na právní pomoc advokáta. Je-li vysvětlení požadováno od nezletilého, je třeba o úkonu předem vyrozumět jeho zákonného zástupce nebo opatrovníka; to neplatí, jestliže provedení úkonu nelze odložit a vyrozumění zákonného zástupce nebo opatrovníka nelze zajistit.</w:t>
      </w:r>
    </w:p>
    <w:p w14:paraId="06A448FC"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(6) O obsahu vysvětlení, která nemají povahu neodkladného nebo neopakovatelného úkonu, se sepíše úřední záznam. Je-li úřední záznam podepsán osobou podávající vysvětlení, bude jí na žádost poskytnuta jeho kopie. Úřední záznam slouží státnímu zástupci a obviněnému ke zvážení návrhu, aby osoba, která takové vysvětlení podala, byla vyslechnuta jako svědek, a soudu k úvaze, zda takový důkaz provede. Úřední záznam lze v řízení před soudem užít jako důkaz pouze za podmínek stanovených tímto zákonem. Je-li ten, kdo podal vysvětlení, později vyslýchán jako svědek nebo jako obviněný, nemůže mu být záznam přečten, nebo jinak konstatován jeho obsah.</w:t>
      </w:r>
    </w:p>
    <w:p w14:paraId="67909E92"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(7) Policejní orgán je oprávněn vyzvat osobu, aby se dostavila k podání vysvětlení ve stanovené době na určené místo; v řízení o zločinu je osoba povinna výzvě vyhovět ihned. Jestliže se osoba, která byla řádně vyzvána k podání vysvětlení, bez dostatečné omluvy nedostaví, může být předvedena. Na to a na jiné následky nedostavení (</w:t>
      </w:r>
      <w:hyperlink r:id="rId23" w:history="1">
        <w:r w:rsidRPr="00667C83">
          <w:rPr>
            <w:rStyle w:val="Hypertextovodkaz"/>
            <w:rFonts w:eastAsia="Calibri" w:cs="Times New Roman"/>
            <w:color w:val="auto"/>
            <w:szCs w:val="24"/>
            <w:u w:val="none"/>
          </w:rPr>
          <w:t>§ 66</w:t>
        </w:r>
      </w:hyperlink>
      <w:r w:rsidRPr="00667C83">
        <w:rPr>
          <w:rFonts w:eastAsia="Calibri" w:cs="Times New Roman"/>
          <w:szCs w:val="24"/>
        </w:rPr>
        <w:t>) musí být taková osoba upozorněna.</w:t>
      </w:r>
    </w:p>
    <w:p w14:paraId="32203BA1"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(8) Vysvětlení podle odstavce 3 nesmí být požadováno od toho, kdo by jím porušil státem výslovně uloženou nebo uznanou povinnost mlčenlivosti, ledaže by byl této povinnosti zproštěn příslušným orgánem nebo tím, v jehož zájmu tuto povinnost má. Osoba podávající vysvětlení, s výjimkou podezřelého, je povinna vypovídat pravdu a nic nezamlčet; vysvětlení může odepřít, pokud by jím způsobila nebezpečí trestního stíhání sobě nebo osobám uvedeným v </w:t>
      </w:r>
      <w:hyperlink r:id="rId24" w:history="1">
        <w:r w:rsidRPr="00667C83">
          <w:rPr>
            <w:rStyle w:val="Hypertextovodkaz"/>
            <w:rFonts w:eastAsia="Calibri" w:cs="Times New Roman"/>
            <w:color w:val="auto"/>
            <w:szCs w:val="24"/>
            <w:u w:val="none"/>
          </w:rPr>
          <w:t>§ 100 odst. 2</w:t>
        </w:r>
      </w:hyperlink>
      <w:r w:rsidRPr="00667C83">
        <w:rPr>
          <w:rFonts w:eastAsia="Calibri" w:cs="Times New Roman"/>
          <w:szCs w:val="24"/>
        </w:rPr>
        <w:t>; o tom je třeba osobu, od níž je požadováno vysvětlení, předem poučit. Nasvědčují-li zjištěné okolnosti tomu, že osobě podávající vysvětlení bude třeba jako svědkovi poskytnout ochranu, je třeba při sepisování úředního záznamu postupovat podle </w:t>
      </w:r>
      <w:hyperlink r:id="rId25" w:history="1">
        <w:r w:rsidRPr="00667C83">
          <w:rPr>
            <w:rStyle w:val="Hypertextovodkaz"/>
            <w:rFonts w:eastAsia="Calibri" w:cs="Times New Roman"/>
            <w:color w:val="auto"/>
            <w:szCs w:val="24"/>
            <w:u w:val="none"/>
          </w:rPr>
          <w:t>§ 55 odst. 2</w:t>
        </w:r>
      </w:hyperlink>
      <w:r w:rsidRPr="00667C83">
        <w:rPr>
          <w:rFonts w:eastAsia="Calibri" w:cs="Times New Roman"/>
          <w:szCs w:val="24"/>
        </w:rPr>
        <w:t>.</w:t>
      </w:r>
    </w:p>
    <w:p w14:paraId="199C5B3E" w14:textId="30D577BE"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(9) Má-li výpověď osoby povahu neodkladného nebo neopakovatelného úkonu, policejní orgán ji vyslechne jako svědka za podmínek uvedených v </w:t>
      </w:r>
      <w:hyperlink r:id="rId26" w:history="1">
        <w:r w:rsidRPr="00667C83">
          <w:rPr>
            <w:rStyle w:val="Hypertextovodkaz"/>
            <w:rFonts w:eastAsia="Calibri" w:cs="Times New Roman"/>
            <w:color w:val="auto"/>
            <w:szCs w:val="24"/>
            <w:u w:val="none"/>
          </w:rPr>
          <w:t>§ 158a</w:t>
        </w:r>
      </w:hyperlink>
      <w:r w:rsidRPr="00667C83">
        <w:rPr>
          <w:rFonts w:eastAsia="Calibri" w:cs="Times New Roman"/>
          <w:szCs w:val="24"/>
        </w:rPr>
        <w:t>. Jako svědka vyslechne i</w:t>
      </w:r>
      <w:r w:rsidR="006F2AD5">
        <w:rPr>
          <w:rFonts w:eastAsia="Calibri" w:cs="Times New Roman"/>
          <w:szCs w:val="24"/>
        </w:rPr>
        <w:t> </w:t>
      </w:r>
      <w:r w:rsidRPr="00667C83">
        <w:rPr>
          <w:rFonts w:eastAsia="Calibri" w:cs="Times New Roman"/>
          <w:szCs w:val="24"/>
        </w:rPr>
        <w:t>osobu mladší osmnácti let a osobu, o jejíž schopnosti správně a úplně vnímat, zapamatovat si nebo reprodukovat jsou s ohledem na její psychický stav pochybnosti. Jestliže lze předpokládat, že další prověřování trestního oznámení nebo jiného podnětu k trestnímu stíhání bude trvat delší dobu, zejména proto, že nebyla zjištěna osoba, u níž je dostatečně odůvodněn závěr, že trestný čin spáchala, a v důsledku toho nelze zahájit trestní stíhání a hrozí ztráta důkazní hodnoty výpovědi, je možno vyslechnout jako svědka i osobu, jejíž výpověď má podle odůvodněného předpokladu rozhodující význam pro zahájení trestního stíhání, nasvědčují-li zjištěné skutečnosti tomu, že by mohl být na takovou osobu pro její výpověď vyvíjen nátlak, anebo hrozí z jiného důvodu, že bude ovlivněna její výpověď. Pokud výslechy těchto osob nebyly po zahájení trestního stíhání provedeny znovu podle </w:t>
      </w:r>
      <w:hyperlink r:id="rId27" w:history="1">
        <w:r w:rsidRPr="00667C83">
          <w:rPr>
            <w:rStyle w:val="Hypertextovodkaz"/>
            <w:rFonts w:eastAsia="Calibri" w:cs="Times New Roman"/>
            <w:color w:val="auto"/>
            <w:szCs w:val="24"/>
            <w:u w:val="none"/>
          </w:rPr>
          <w:t>§ 164 odst. 4</w:t>
        </w:r>
      </w:hyperlink>
      <w:r w:rsidRPr="00667C83">
        <w:rPr>
          <w:rFonts w:eastAsia="Calibri" w:cs="Times New Roman"/>
          <w:szCs w:val="24"/>
        </w:rPr>
        <w:t xml:space="preserve">, lze protokoly o jejich výslechu v hlavním líčení číst nebo </w:t>
      </w:r>
      <w:r w:rsidRPr="0055430A">
        <w:rPr>
          <w:rFonts w:eastAsia="Calibri" w:cs="Times New Roman"/>
          <w:strike/>
          <w:szCs w:val="24"/>
        </w:rPr>
        <w:t>obrazové a zvukové záznamy pořízené o jejich výslechu provedeném</w:t>
      </w:r>
      <w:r w:rsidRPr="00667C83">
        <w:rPr>
          <w:rFonts w:eastAsia="Calibri" w:cs="Times New Roman"/>
          <w:strike/>
          <w:szCs w:val="24"/>
        </w:rPr>
        <w:t xml:space="preserve"> prostřednictvím videokonferenčního zařízení</w:t>
      </w:r>
      <w:r w:rsidRPr="00667C83">
        <w:rPr>
          <w:rFonts w:eastAsia="Calibri" w:cs="Times New Roman"/>
          <w:szCs w:val="24"/>
        </w:rPr>
        <w:t xml:space="preserve"> </w:t>
      </w:r>
      <w:r w:rsidR="0055430A">
        <w:rPr>
          <w:rFonts w:eastAsia="Calibri" w:cs="Times New Roman"/>
          <w:b/>
          <w:bCs/>
          <w:szCs w:val="24"/>
        </w:rPr>
        <w:t xml:space="preserve">záznamy pořízené o jejich výslechu </w:t>
      </w:r>
      <w:r w:rsidRPr="00667C83">
        <w:rPr>
          <w:rFonts w:eastAsia="Calibri" w:cs="Times New Roman"/>
          <w:szCs w:val="24"/>
        </w:rPr>
        <w:t>přehrát pouze podle </w:t>
      </w:r>
      <w:hyperlink r:id="rId28" w:history="1">
        <w:r w:rsidRPr="00667C83">
          <w:rPr>
            <w:rStyle w:val="Hypertextovodkaz"/>
            <w:rFonts w:eastAsia="Calibri" w:cs="Times New Roman"/>
            <w:color w:val="auto"/>
            <w:szCs w:val="24"/>
            <w:u w:val="none"/>
          </w:rPr>
          <w:t>§ 211 odst. 1</w:t>
        </w:r>
      </w:hyperlink>
      <w:r w:rsidRPr="00667C83">
        <w:rPr>
          <w:rFonts w:eastAsia="Calibri" w:cs="Times New Roman"/>
          <w:szCs w:val="24"/>
        </w:rPr>
        <w:t>, </w:t>
      </w:r>
      <w:hyperlink r:id="rId29" w:history="1">
        <w:r w:rsidRPr="00667C83">
          <w:rPr>
            <w:rStyle w:val="Hypertextovodkaz"/>
            <w:rFonts w:eastAsia="Calibri" w:cs="Times New Roman"/>
            <w:color w:val="auto"/>
            <w:szCs w:val="24"/>
            <w:u w:val="none"/>
          </w:rPr>
          <w:t>odst. 2 písm. a)</w:t>
        </w:r>
      </w:hyperlink>
      <w:r w:rsidRPr="00667C83">
        <w:rPr>
          <w:rFonts w:eastAsia="Calibri" w:cs="Times New Roman"/>
          <w:szCs w:val="24"/>
        </w:rPr>
        <w:t>, </w:t>
      </w:r>
      <w:hyperlink r:id="rId30" w:history="1">
        <w:r w:rsidRPr="00667C83">
          <w:rPr>
            <w:rStyle w:val="Hypertextovodkaz"/>
            <w:rFonts w:eastAsia="Calibri" w:cs="Times New Roman"/>
            <w:color w:val="auto"/>
            <w:szCs w:val="24"/>
            <w:u w:val="none"/>
          </w:rPr>
          <w:t>odst. 3 písm. b)</w:t>
        </w:r>
      </w:hyperlink>
      <w:r w:rsidRPr="00667C83">
        <w:rPr>
          <w:rFonts w:eastAsia="Calibri" w:cs="Times New Roman"/>
          <w:szCs w:val="24"/>
        </w:rPr>
        <w:t>, </w:t>
      </w:r>
      <w:hyperlink r:id="rId31" w:history="1">
        <w:r w:rsidRPr="00667C83">
          <w:rPr>
            <w:rStyle w:val="Hypertextovodkaz"/>
            <w:rFonts w:eastAsia="Calibri" w:cs="Times New Roman"/>
            <w:color w:val="auto"/>
            <w:szCs w:val="24"/>
            <w:u w:val="none"/>
          </w:rPr>
          <w:t>c)</w:t>
        </w:r>
      </w:hyperlink>
      <w:r w:rsidRPr="00667C83">
        <w:rPr>
          <w:rFonts w:eastAsia="Calibri" w:cs="Times New Roman"/>
          <w:szCs w:val="24"/>
        </w:rPr>
        <w:t>; jinak lze pouze předestřít protokoly o jejich výslechu podle </w:t>
      </w:r>
      <w:hyperlink r:id="rId32" w:history="1">
        <w:r w:rsidRPr="00667C83">
          <w:rPr>
            <w:rStyle w:val="Hypertextovodkaz"/>
            <w:rFonts w:eastAsia="Calibri" w:cs="Times New Roman"/>
            <w:color w:val="auto"/>
            <w:szCs w:val="24"/>
            <w:u w:val="none"/>
          </w:rPr>
          <w:t>§ 212</w:t>
        </w:r>
      </w:hyperlink>
      <w:r w:rsidRPr="00667C83">
        <w:rPr>
          <w:rFonts w:eastAsia="Calibri" w:cs="Times New Roman"/>
          <w:szCs w:val="24"/>
        </w:rPr>
        <w:t>.</w:t>
      </w:r>
    </w:p>
    <w:p w14:paraId="1E652581"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(10) Kdo se dostaví na výzvu k podání vysvětlení, má nárok na náhradu nutných výdajů podle zvláštního právního předpisu upravujícího cestovní náhrady a prokázaného ušlého výdělku za stejných podmínek jako svědek. Nárok nemá ten, kdo byl vyzván k dostavení se pro své protiprávní jednání.</w:t>
      </w:r>
    </w:p>
    <w:p w14:paraId="295C8062" w14:textId="77777777" w:rsidR="00667C83" w:rsidRPr="00667C83" w:rsidRDefault="00667C83" w:rsidP="00667C83">
      <w:pPr>
        <w:spacing w:line="240" w:lineRule="auto"/>
        <w:ind w:firstLine="426"/>
        <w:rPr>
          <w:rFonts w:eastAsia="Calibri" w:cs="Times New Roman"/>
          <w:szCs w:val="24"/>
        </w:rPr>
      </w:pPr>
      <w:r w:rsidRPr="00667C83">
        <w:rPr>
          <w:rFonts w:eastAsia="Calibri" w:cs="Times New Roman"/>
          <w:szCs w:val="24"/>
        </w:rPr>
        <w:t>(11) Provádí-li opatření nebo úkony podle předchozích odstavců jiný policejní orgán než útvar Policie České republiky, vyrozumí o předmětu šetření neprodleně útvar Policie České republiky, který by jinak byl příslušný k řízení. Vznikne-li mezi útvarem Policie České republiky a jiným policejním orgánem spor o příslušnost, předloží věc k posouzení státnímu zástupci. Jeho stanovisko je závazné.</w:t>
      </w:r>
    </w:p>
    <w:p w14:paraId="6A45AE1F" w14:textId="1AECC8E6" w:rsidR="00667C83" w:rsidRPr="00A2188C" w:rsidRDefault="00667C83" w:rsidP="002C0360">
      <w:pPr>
        <w:tabs>
          <w:tab w:val="left" w:pos="426"/>
        </w:tabs>
        <w:spacing w:line="240" w:lineRule="auto"/>
        <w:rPr>
          <w:rFonts w:eastAsia="Calibri" w:cs="Times New Roman"/>
          <w:szCs w:val="24"/>
        </w:rPr>
      </w:pPr>
      <w:r>
        <w:rPr>
          <w:rFonts w:eastAsia="Calibri" w:cs="Times New Roman"/>
          <w:szCs w:val="24"/>
        </w:rPr>
        <w:tab/>
      </w:r>
      <w:r w:rsidRPr="00667C83">
        <w:rPr>
          <w:rFonts w:eastAsia="Calibri" w:cs="Times New Roman"/>
          <w:szCs w:val="24"/>
        </w:rPr>
        <w:t>(12) Je-li při prověřování skutečností nasvědčujících tomu, že byl spáchán trestný čin, zjištěno, že příslušnou k řízení je Generální inspekce bezpečnostních sborů, policejní orgán ji o předmětu šetření neprodleně vyrozumí a věc jí předá. Do doby, než Generální inspekce bezpečnostních sborů věc převezme, je policejní orgán oprávněn provádět pouze neodkladné a neopakovatelné úkony. Vznikne-li mezi policejním orgánem a Generální inspekcí bezpečnostních sborů spor o příslušnost, policejní orgán věc předloží k posouzení příslušnému státnímu zástupci. Jeho stanovisko je závazné. Ustanovení odstavce 11 se nepoužije.</w:t>
      </w:r>
    </w:p>
    <w:p w14:paraId="2B2C3AE9" w14:textId="3D940A0F" w:rsidR="00D04264" w:rsidRPr="00A2188C" w:rsidRDefault="00D04264" w:rsidP="008E1253">
      <w:pPr>
        <w:keepNext/>
        <w:spacing w:line="240" w:lineRule="auto"/>
        <w:jc w:val="center"/>
        <w:outlineLvl w:val="1"/>
        <w:rPr>
          <w:rFonts w:eastAsia="Arial" w:cs="Times New Roman"/>
          <w:b/>
          <w:bCs/>
          <w:szCs w:val="24"/>
          <w:lang w:eastAsia="cs-CZ"/>
        </w:rPr>
      </w:pPr>
      <w:r w:rsidRPr="00A2188C">
        <w:rPr>
          <w:rFonts w:eastAsia="Arial" w:cs="Times New Roman"/>
          <w:b/>
          <w:bCs/>
          <w:szCs w:val="24"/>
          <w:lang w:eastAsia="cs-CZ"/>
        </w:rPr>
        <w:t>§ 159e</w:t>
      </w:r>
    </w:p>
    <w:p w14:paraId="48B10E80" w14:textId="214838BC" w:rsidR="00D04264" w:rsidRPr="003E6AE3" w:rsidRDefault="00D04264" w:rsidP="008E1253">
      <w:pPr>
        <w:widowControl w:val="0"/>
        <w:tabs>
          <w:tab w:val="left" w:pos="426"/>
        </w:tabs>
        <w:autoSpaceDE w:val="0"/>
        <w:autoSpaceDN w:val="0"/>
        <w:adjustRightInd w:val="0"/>
        <w:spacing w:line="240" w:lineRule="auto"/>
        <w:ind w:firstLine="426"/>
        <w:rPr>
          <w:rFonts w:cs="Times New Roman"/>
          <w:b/>
          <w:szCs w:val="24"/>
        </w:rPr>
      </w:pPr>
      <w:r w:rsidRPr="003E6AE3">
        <w:rPr>
          <w:rFonts w:cs="Times New Roman"/>
          <w:b/>
          <w:szCs w:val="24"/>
        </w:rPr>
        <w:t xml:space="preserve">Orgán, který věc odložil </w:t>
      </w:r>
      <w:r w:rsidR="00A47E63">
        <w:rPr>
          <w:rFonts w:cs="Times New Roman"/>
          <w:b/>
          <w:szCs w:val="24"/>
        </w:rPr>
        <w:t xml:space="preserve">nebo vyřídil jinak </w:t>
      </w:r>
      <w:r w:rsidRPr="003E6AE3">
        <w:rPr>
          <w:rFonts w:cs="Times New Roman"/>
          <w:b/>
          <w:szCs w:val="24"/>
        </w:rPr>
        <w:t>podle § 159a, nebo který v dané trestní věci zahájil trestní stíhání vůči jiné osobě, vyrozumí osobu, která podávala vysvětlení v postavení podezřelého</w:t>
      </w:r>
      <w:r w:rsidR="00761FB6" w:rsidRPr="003E6AE3">
        <w:rPr>
          <w:rFonts w:cs="Times New Roman"/>
          <w:b/>
          <w:szCs w:val="24"/>
        </w:rPr>
        <w:t>,</w:t>
      </w:r>
      <w:r w:rsidRPr="003E6AE3">
        <w:rPr>
          <w:rFonts w:cs="Times New Roman"/>
          <w:b/>
          <w:szCs w:val="24"/>
        </w:rPr>
        <w:t xml:space="preserve"> nebo vůči které byl proveden úkon v prověřování z důvodu podezření ze spáchání trestného činu a kterou informoval o provedení takového úkonu, </w:t>
      </w:r>
      <w:r w:rsidR="00244FC5">
        <w:rPr>
          <w:rFonts w:cs="Times New Roman"/>
          <w:b/>
          <w:szCs w:val="24"/>
        </w:rPr>
        <w:t xml:space="preserve">o tom, </w:t>
      </w:r>
      <w:r w:rsidRPr="003E6AE3">
        <w:rPr>
          <w:rFonts w:cs="Times New Roman"/>
          <w:b/>
          <w:szCs w:val="24"/>
        </w:rPr>
        <w:t>že dále není podezřelá ze spáchání trestného činu.</w:t>
      </w:r>
    </w:p>
    <w:p w14:paraId="383DBC85" w14:textId="77777777" w:rsidR="00355CA7" w:rsidRPr="00A2188C" w:rsidRDefault="00355CA7" w:rsidP="008E1253">
      <w:pPr>
        <w:keepNext/>
        <w:spacing w:line="240" w:lineRule="auto"/>
        <w:jc w:val="center"/>
        <w:outlineLvl w:val="1"/>
        <w:rPr>
          <w:rFonts w:eastAsia="Arial" w:cs="Times New Roman"/>
          <w:szCs w:val="24"/>
          <w:lang w:eastAsia="cs-CZ"/>
        </w:rPr>
      </w:pPr>
      <w:r w:rsidRPr="00A2188C">
        <w:rPr>
          <w:rFonts w:eastAsia="Arial" w:cs="Times New Roman"/>
          <w:szCs w:val="24"/>
          <w:lang w:eastAsia="cs-CZ"/>
        </w:rPr>
        <w:t>§ 161</w:t>
      </w:r>
    </w:p>
    <w:p w14:paraId="337603F9" w14:textId="77777777" w:rsidR="00355CA7" w:rsidRPr="003E6AE3" w:rsidRDefault="00355CA7" w:rsidP="008E1253">
      <w:pPr>
        <w:spacing w:line="240" w:lineRule="auto"/>
        <w:jc w:val="center"/>
        <w:rPr>
          <w:rFonts w:cs="Times New Roman"/>
          <w:bCs/>
          <w:color w:val="000000"/>
          <w:szCs w:val="24"/>
          <w:highlight w:val="white"/>
        </w:rPr>
      </w:pPr>
      <w:bookmarkStart w:id="26" w:name="_9tjl5ktwzmsn" w:colFirst="0" w:colLast="0"/>
      <w:bookmarkEnd w:id="26"/>
      <w:r w:rsidRPr="003E6AE3">
        <w:rPr>
          <w:rFonts w:cs="Times New Roman"/>
          <w:color w:val="000000"/>
          <w:szCs w:val="24"/>
          <w:highlight w:val="white"/>
        </w:rPr>
        <w:t>Vyšetřovací orgány</w:t>
      </w:r>
    </w:p>
    <w:p w14:paraId="72345C07" w14:textId="1DBE6D9B" w:rsidR="00CB56B4" w:rsidRPr="00A2188C" w:rsidRDefault="00355CA7" w:rsidP="008E1253">
      <w:pPr>
        <w:spacing w:line="240" w:lineRule="auto"/>
        <w:ind w:firstLine="425"/>
        <w:rPr>
          <w:rFonts w:eastAsia="Calibri" w:cs="Times New Roman"/>
          <w:szCs w:val="24"/>
        </w:rPr>
      </w:pPr>
      <w:r w:rsidRPr="00A2188C">
        <w:rPr>
          <w:rFonts w:eastAsia="Calibri" w:cs="Times New Roman"/>
          <w:szCs w:val="24"/>
        </w:rPr>
        <w:t>(1) Vyšetřováním se označuje úsek trestního stíhání před podáním obžaloby, návrhu na</w:t>
      </w:r>
      <w:r w:rsidR="008E1253">
        <w:rPr>
          <w:rFonts w:eastAsia="Calibri" w:cs="Times New Roman"/>
          <w:szCs w:val="24"/>
        </w:rPr>
        <w:t> </w:t>
      </w:r>
      <w:r w:rsidRPr="00A2188C">
        <w:rPr>
          <w:rFonts w:eastAsia="Calibri" w:cs="Times New Roman"/>
          <w:szCs w:val="24"/>
        </w:rPr>
        <w:t>schválení dohody o vině a trestu, postoupením věci jinému orgánu nebo zastavením trestního stíhání, včetně schválení narovnání a podmíněného zastavení trestního stíhání před podáním obžaloby, návrhu na schválení dohody o vině a trestu.</w:t>
      </w:r>
    </w:p>
    <w:p w14:paraId="30DA8FE6" w14:textId="7A538C25" w:rsidR="00355CA7" w:rsidRPr="00A2188C" w:rsidRDefault="00355CA7" w:rsidP="008E1253">
      <w:pPr>
        <w:spacing w:line="240" w:lineRule="auto"/>
        <w:ind w:firstLine="425"/>
        <w:rPr>
          <w:rFonts w:eastAsia="Calibri" w:cs="Times New Roman"/>
          <w:szCs w:val="24"/>
        </w:rPr>
      </w:pPr>
      <w:r w:rsidRPr="00A2188C">
        <w:rPr>
          <w:rFonts w:eastAsia="Calibri" w:cs="Times New Roman"/>
          <w:szCs w:val="24"/>
        </w:rPr>
        <w:t>(2) Nestanoví-li zákon jinak, vyšetřování konají útvary Policie České republiky.</w:t>
      </w:r>
    </w:p>
    <w:p w14:paraId="4BCF3495" w14:textId="77777777" w:rsidR="00355CA7" w:rsidRPr="00A2188C" w:rsidRDefault="00355CA7" w:rsidP="008E1253">
      <w:pPr>
        <w:spacing w:line="240" w:lineRule="auto"/>
        <w:ind w:firstLine="425"/>
        <w:rPr>
          <w:rFonts w:eastAsia="Calibri" w:cs="Times New Roman"/>
          <w:szCs w:val="24"/>
        </w:rPr>
      </w:pPr>
      <w:r w:rsidRPr="00A2188C">
        <w:rPr>
          <w:rFonts w:eastAsia="Calibri" w:cs="Times New Roman"/>
          <w:szCs w:val="24"/>
        </w:rPr>
        <w:t>(3) Vyšetřování o trestných činech spáchaných příslušníky Policie České republiky, příslušníky Vězeňské služby České republiky, celníky anebo zaměstnanci České republiky zařazenými k výkonu práce v Policii České republiky a o trestných činech spáchaných zaměstnanci České republiky zařazenými k výkonu práce ve Vězeňské službě České republiky anebo v Celní správě České republiky v souvislosti s plněním jejich pracovních úkolů, koná Generální inspekce bezpečnostních sborů.</w:t>
      </w:r>
    </w:p>
    <w:p w14:paraId="672123A6" w14:textId="5F4336E5" w:rsidR="00355CA7" w:rsidRPr="00A2188C" w:rsidRDefault="00355CA7" w:rsidP="008E1253">
      <w:pPr>
        <w:spacing w:line="240" w:lineRule="auto"/>
        <w:ind w:firstLine="425"/>
        <w:rPr>
          <w:rFonts w:eastAsia="Calibri" w:cs="Times New Roman"/>
          <w:szCs w:val="24"/>
        </w:rPr>
      </w:pPr>
      <w:r w:rsidRPr="00A2188C">
        <w:rPr>
          <w:rFonts w:eastAsia="Calibri" w:cs="Times New Roman"/>
          <w:szCs w:val="24"/>
        </w:rPr>
        <w:t>(4) Vyšetřování o trestných činech spáchaných příslušníky Generální inspekce bezpečnostních sborů, příslušníky Bezpečnostní informační služby, příslušníky Úřadu pro zahraniční styky a informace, příslušníky Vojenského zpravodajství anebo příslušníky Vojenské policie a vyšetřování o trestných činech zaměstnanců České republiky, zařazených k</w:t>
      </w:r>
      <w:r w:rsidR="00A2188C" w:rsidRPr="00A2188C">
        <w:rPr>
          <w:rFonts w:eastAsia="Calibri" w:cs="Times New Roman"/>
          <w:szCs w:val="24"/>
        </w:rPr>
        <w:t> </w:t>
      </w:r>
      <w:r w:rsidRPr="00A2188C">
        <w:rPr>
          <w:rFonts w:eastAsia="Calibri" w:cs="Times New Roman"/>
          <w:szCs w:val="24"/>
        </w:rPr>
        <w:t>výkonu práce v Generální inspekci bezpečnostních sborů, koná státní zástupce; přitom postupuje přiměřeně podle ustanovení upravujících postup policejního orgánu konajícího vyšetřování. Ustanovení o souhlasu státního zástupce, který je třeba k provedení úkonu policejním orgánem, se neužijí. Při vyšetřování trestných činů spáchaných příslušníky Generální inspekce bezpečnostních sborů, příslušníky Bezpečnostní informační služby, příslušníky Úřadu pro zahraniční styky a informace, příslušníky Vojenského zpravodajství anebo příslušníky Vojenské policie a při vyšetřování trestných činů zaměstnanců České republiky, zařazených k výkonu práce v Generální inspekci bezpečnostních sborů, může státní zástupce požádat orgány uvedené v § 12 odst. 2 v rámci jejich působnosti o opatření jednotlivého důkazu nebo provedení jednotlivého úkonu vyšetřování, o součinnost při opatřování důkazu nebo provádění úkonu vyšetřování, o předvedení osoby nebo za podmínek podle § 62 odst. 1 o doručení písemnosti. Tento orgán je povinen státnímu zástupci urychleně vyhovět.</w:t>
      </w:r>
    </w:p>
    <w:p w14:paraId="7D618A3E" w14:textId="77777777" w:rsidR="00355CA7" w:rsidRPr="00A2188C" w:rsidRDefault="00355CA7" w:rsidP="008E1253">
      <w:pPr>
        <w:spacing w:line="240" w:lineRule="auto"/>
        <w:ind w:firstLine="425"/>
        <w:rPr>
          <w:rFonts w:eastAsia="Calibri" w:cs="Times New Roman"/>
          <w:szCs w:val="24"/>
        </w:rPr>
      </w:pPr>
      <w:r w:rsidRPr="00A2188C">
        <w:rPr>
          <w:rFonts w:eastAsia="Calibri" w:cs="Times New Roman"/>
          <w:szCs w:val="24"/>
        </w:rPr>
        <w:t>(5) Za splnění podmínek uvedených v § 20 odst. 1 koná</w:t>
      </w:r>
    </w:p>
    <w:p w14:paraId="22015ECB" w14:textId="42522A4C" w:rsidR="00355CA7" w:rsidRPr="00A2188C" w:rsidRDefault="00355CA7" w:rsidP="008E1253">
      <w:pPr>
        <w:spacing w:line="240" w:lineRule="auto"/>
        <w:ind w:left="284" w:hanging="284"/>
        <w:rPr>
          <w:rFonts w:cs="Times New Roman"/>
          <w:szCs w:val="24"/>
        </w:rPr>
      </w:pPr>
      <w:r w:rsidRPr="00A2188C">
        <w:rPr>
          <w:rFonts w:cs="Times New Roman"/>
          <w:szCs w:val="24"/>
        </w:rPr>
        <w:t>a) Generální inspekce bezpečnostních sborů vyšetřování podle odstavce 3 i proti těm spoluobviněným, kteří nejsou příslušníky Policie České republiky, příslušníky Vězeňské služby České republiky anebo celníky nebo zaměstnanci České republiky, zařazenými k</w:t>
      </w:r>
      <w:r w:rsidR="008E1253">
        <w:rPr>
          <w:rFonts w:cs="Times New Roman"/>
          <w:szCs w:val="24"/>
        </w:rPr>
        <w:t> </w:t>
      </w:r>
      <w:r w:rsidRPr="00A2188C">
        <w:rPr>
          <w:rFonts w:cs="Times New Roman"/>
          <w:szCs w:val="24"/>
        </w:rPr>
        <w:t>výkonu práce v Policii České republiky, Vězeňské službě České republiky anebo v Celní správě České republiky,</w:t>
      </w:r>
    </w:p>
    <w:p w14:paraId="299E4560" w14:textId="10352C03" w:rsidR="00355CA7" w:rsidRPr="00A2188C" w:rsidRDefault="00355CA7" w:rsidP="008E1253">
      <w:pPr>
        <w:spacing w:line="240" w:lineRule="auto"/>
        <w:ind w:left="284" w:hanging="284"/>
        <w:rPr>
          <w:rFonts w:cs="Times New Roman"/>
          <w:szCs w:val="24"/>
        </w:rPr>
      </w:pPr>
      <w:r w:rsidRPr="00A2188C">
        <w:rPr>
          <w:rFonts w:cs="Times New Roman"/>
          <w:szCs w:val="24"/>
        </w:rPr>
        <w:t>b) státní zástupce vyšetřování podle odstavce 4 i proti těm spoluobviněným, kteří nejsou příslušníky Generální inspekce bezpečnostních sborů, příslušníky Bezpečnostní informační služby, příslušníky Úřadu pro zahraniční styky a informace anebo příslušníky Vojenského zpravodajství anebo příslušníky Vojenské policie nebo zaměstnanci České republiky, zařazenými k výkonu práce v Generální inspekci bezpečnostních sborů.</w:t>
      </w:r>
    </w:p>
    <w:p w14:paraId="37D82D1F" w14:textId="73F0A116" w:rsidR="00355CA7" w:rsidRPr="00A2188C" w:rsidRDefault="00355CA7" w:rsidP="008E1253">
      <w:pPr>
        <w:spacing w:line="240" w:lineRule="auto"/>
        <w:rPr>
          <w:rFonts w:eastAsia="Calibri" w:cs="Times New Roman"/>
          <w:szCs w:val="24"/>
        </w:rPr>
      </w:pPr>
      <w:r w:rsidRPr="00A2188C">
        <w:rPr>
          <w:rFonts w:eastAsia="Calibri" w:cs="Times New Roman"/>
          <w:szCs w:val="24"/>
        </w:rPr>
        <w:t>Ustanovení § 23 tím není dotčeno.</w:t>
      </w:r>
    </w:p>
    <w:p w14:paraId="0EE15052" w14:textId="77777777" w:rsidR="00A2188C" w:rsidRDefault="00355CA7" w:rsidP="008E1253">
      <w:pPr>
        <w:spacing w:line="240" w:lineRule="auto"/>
        <w:ind w:firstLine="425"/>
        <w:rPr>
          <w:rFonts w:eastAsia="Calibri" w:cs="Times New Roman"/>
          <w:szCs w:val="24"/>
        </w:rPr>
      </w:pPr>
      <w:r w:rsidRPr="00A2188C">
        <w:rPr>
          <w:rFonts w:eastAsia="Calibri" w:cs="Times New Roman"/>
          <w:szCs w:val="24"/>
        </w:rPr>
        <w:t>(6) Vyšetřování může konat i kapitán lodi při dálkových plavbách o trestných činech spáchaných na této lodi; přitom postupuje přiměřeně podle ustanovení upravujících postup policejního orgánu konajícího vyšetřování.</w:t>
      </w:r>
    </w:p>
    <w:p w14:paraId="2AB2A590" w14:textId="315194DC" w:rsidR="00A2188C" w:rsidRDefault="00355CA7" w:rsidP="008E1253">
      <w:pPr>
        <w:spacing w:line="240" w:lineRule="auto"/>
        <w:ind w:firstLine="425"/>
        <w:rPr>
          <w:rFonts w:eastAsia="Calibri" w:cs="Times New Roman"/>
          <w:szCs w:val="24"/>
        </w:rPr>
      </w:pPr>
      <w:r w:rsidRPr="003E6AE3">
        <w:rPr>
          <w:rFonts w:eastAsia="Times New Roman" w:cs="Times New Roman"/>
          <w:szCs w:val="24"/>
          <w:highlight w:val="white"/>
        </w:rPr>
        <w:t xml:space="preserve">(7) Vyšetřování o trestných činech příslušníků ozbrojených sil a osob, které páchají trestnou činnost proti příslušníkům ozbrojených sil ve vojenských objektech anebo proti vojenským objektům, vojenskému materiálu nebo ostatnímu majetku státu, s nímž jsou příslušné hospodařit Ministerstvo obrany nebo jím zřízené organizační složky státu nebo s nímž jsou příslušné hospodařit anebo s nímž mají právo hospodařit státní organizace zřízené nebo založené Ministerstvem obrany, koná pověřený orgán Vojenské policie. </w:t>
      </w:r>
      <w:r w:rsidR="006A781A" w:rsidRPr="003E6AE3">
        <w:rPr>
          <w:rFonts w:eastAsia="Times New Roman" w:cs="Times New Roman"/>
          <w:b/>
          <w:bCs/>
          <w:szCs w:val="24"/>
        </w:rPr>
        <w:t xml:space="preserve">To neplatí pro trestný čin podvodu (§ 209 trestního zákoníku), dotačního podvodu (§ 212 trestního zákoníku), porušení povinnosti při správě cizího majetku (§ 220 trestního zákoníku), porušení povinnosti při správě cizího majetku z nedbalosti (§ 221 trestního zákoníku), </w:t>
      </w:r>
      <w:r w:rsidR="00FD7DBE" w:rsidRPr="003E6AE3">
        <w:rPr>
          <w:rFonts w:eastAsia="Times New Roman" w:cs="Times New Roman"/>
          <w:b/>
          <w:bCs/>
          <w:szCs w:val="24"/>
        </w:rPr>
        <w:t xml:space="preserve">porušení předpisů o pravidlech hospodářské soutěže (§ 248 trestního zákoníku), </w:t>
      </w:r>
      <w:r w:rsidR="006A781A" w:rsidRPr="003E6AE3">
        <w:rPr>
          <w:rFonts w:eastAsia="Times New Roman" w:cs="Times New Roman"/>
          <w:b/>
          <w:bCs/>
          <w:szCs w:val="24"/>
        </w:rPr>
        <w:t>zjednání výhody při zadání veřejné zakázky, při veřejné soutěži a veřejné dražbě (§ 256 trestního zákoníku), pletich při zadání veřejné zakázky a při veřejné soutěži (§ 257 trestního zákoníku), pletich při veřejné dražbě (§ 258 trestního zákoníku), poškození finančních zájmů Evropské unie (§ 260 trestního zákoníku), zneužití pravomoci úřední osoby (§ 329 trestního zákoníku), maření úkolu úřední osoby z nedbalosti (§ 330 trestního zákoníku), přijetí úplatku (§ 331 trestního zákoníku), podplacení (§ 332 trestního zákoníku) a</w:t>
      </w:r>
      <w:r w:rsidR="00A2188C">
        <w:rPr>
          <w:rFonts w:eastAsia="Times New Roman" w:cs="Times New Roman"/>
          <w:b/>
          <w:bCs/>
          <w:szCs w:val="24"/>
        </w:rPr>
        <w:t> </w:t>
      </w:r>
      <w:r w:rsidR="006A781A" w:rsidRPr="003E6AE3">
        <w:rPr>
          <w:rFonts w:eastAsia="Times New Roman" w:cs="Times New Roman"/>
          <w:b/>
          <w:bCs/>
          <w:szCs w:val="24"/>
        </w:rPr>
        <w:t>nepřímého úplatkářství (§ 333 trestního zákoníku), pokud byl spáchán v souvislosti se zadáváním veřejné zakázky nebo hospodařením s majetkem státu, a pro trestný čin legalizace výnosů z trestné činnosti (§ 216 trestního zákoníku) a legalizace výnosů z trestné činnosti z nedbalosti (§ 217 trestního zákoníku), pokud legalizované výnosy pocházejí z</w:t>
      </w:r>
      <w:r w:rsidR="00A2188C">
        <w:rPr>
          <w:rFonts w:eastAsia="Times New Roman" w:cs="Times New Roman"/>
          <w:b/>
          <w:bCs/>
          <w:szCs w:val="24"/>
        </w:rPr>
        <w:t> </w:t>
      </w:r>
      <w:r w:rsidR="006A781A" w:rsidRPr="003E6AE3">
        <w:rPr>
          <w:rFonts w:eastAsia="Times New Roman" w:cs="Times New Roman"/>
          <w:b/>
          <w:bCs/>
          <w:szCs w:val="24"/>
        </w:rPr>
        <w:t>některého z trestných činů uvedených v této větě.</w:t>
      </w:r>
    </w:p>
    <w:p w14:paraId="15DF72A4" w14:textId="0FB4EB46" w:rsidR="00355CA7" w:rsidRDefault="00355CA7" w:rsidP="008E1253">
      <w:pPr>
        <w:spacing w:line="240" w:lineRule="auto"/>
        <w:ind w:firstLine="425"/>
        <w:rPr>
          <w:rFonts w:eastAsia="Times New Roman" w:cs="Times New Roman"/>
          <w:szCs w:val="24"/>
        </w:rPr>
      </w:pPr>
      <w:r w:rsidRPr="003E6AE3">
        <w:rPr>
          <w:rFonts w:eastAsia="Times New Roman" w:cs="Times New Roman"/>
          <w:szCs w:val="24"/>
          <w:highlight w:val="white"/>
        </w:rPr>
        <w:t>(8) Jednotlivé úkony vyšetřování mohou na základě dožádání provést i jiné policejní orgány.</w:t>
      </w:r>
    </w:p>
    <w:p w14:paraId="1F409506" w14:textId="47D2B545" w:rsidR="00E328E3" w:rsidRDefault="00E328E3" w:rsidP="00E328E3">
      <w:pPr>
        <w:spacing w:line="240" w:lineRule="auto"/>
        <w:jc w:val="center"/>
        <w:rPr>
          <w:rFonts w:eastAsia="Times New Roman" w:cs="Times New Roman"/>
          <w:szCs w:val="24"/>
        </w:rPr>
      </w:pPr>
      <w:r>
        <w:rPr>
          <w:rFonts w:eastAsia="Times New Roman" w:cs="Times New Roman"/>
          <w:szCs w:val="24"/>
        </w:rPr>
        <w:t>§ 180</w:t>
      </w:r>
    </w:p>
    <w:p w14:paraId="6A49C877" w14:textId="77777777" w:rsidR="00E328E3" w:rsidRPr="00E328E3" w:rsidRDefault="00E328E3" w:rsidP="00E328E3">
      <w:pPr>
        <w:spacing w:line="240" w:lineRule="auto"/>
        <w:ind w:firstLine="426"/>
        <w:rPr>
          <w:rFonts w:eastAsia="Calibri" w:cs="Times New Roman"/>
          <w:szCs w:val="24"/>
        </w:rPr>
      </w:pPr>
      <w:r w:rsidRPr="00E328E3">
        <w:rPr>
          <w:rFonts w:eastAsia="Calibri" w:cs="Times New Roman"/>
          <w:szCs w:val="24"/>
        </w:rPr>
        <w:t>(1) Trestní stíhání před soudem se koná jen na podkladě obžaloby nebo návrhu na potrestání, které podává a před soudem zastupuje státní zástupce, nebo na podkladě návrhu na schválení dohody o vině a trestu, který podává státní zástupce. V řízení před okresním soudem se státní zástupce může nechat zastoupit právním čekatelem, nejde-li o řízení o schválení dohody o vině a trestu.</w:t>
      </w:r>
    </w:p>
    <w:p w14:paraId="2B9C6D06" w14:textId="74FF8B3B" w:rsidR="00E328E3" w:rsidRPr="00E328E3" w:rsidRDefault="00E328E3" w:rsidP="00E328E3">
      <w:pPr>
        <w:spacing w:line="240" w:lineRule="auto"/>
        <w:ind w:firstLine="426"/>
        <w:rPr>
          <w:rFonts w:eastAsia="Calibri" w:cs="Times New Roman"/>
          <w:szCs w:val="24"/>
        </w:rPr>
      </w:pPr>
      <w:r w:rsidRPr="00E328E3">
        <w:rPr>
          <w:rFonts w:eastAsia="Calibri" w:cs="Times New Roman"/>
          <w:szCs w:val="24"/>
        </w:rPr>
        <w:t>(2) Při podání a zastupování obžaloby se státní zástupce řídí zákonem a vnitřním přesvědčením založeným na uvážení všech okolností případu. V řízení před soudem vystupuje tak, aby byly objasněny všechny podstatné skutečnosti rozhodné z hlediska podané obžaloby. Za tímto účelem opatřuje z vlastní iniciativy nebo na žádost předsedy senátu i další důkazy, které nebyly dosud opatřeny či provedeny.</w:t>
      </w:r>
      <w:r w:rsidR="00CF6E7C" w:rsidRPr="00CF6E7C">
        <w:rPr>
          <w:rFonts w:eastAsia="Calibri" w:cs="Times New Roman"/>
          <w:szCs w:val="24"/>
        </w:rPr>
        <w:t xml:space="preserve"> </w:t>
      </w:r>
      <w:r w:rsidR="00CF6E7C">
        <w:rPr>
          <w:rFonts w:eastAsia="Arial" w:cs="Times New Roman"/>
          <w:b/>
          <w:bCs/>
          <w:szCs w:val="24"/>
          <w:lang w:eastAsia="cs-CZ"/>
        </w:rPr>
        <w:t>P</w:t>
      </w:r>
      <w:r w:rsidR="00CF6E7C" w:rsidRPr="00365453">
        <w:rPr>
          <w:rFonts w:eastAsia="Arial" w:cs="Times New Roman"/>
          <w:b/>
          <w:bCs/>
          <w:szCs w:val="24"/>
          <w:lang w:eastAsia="cs-CZ"/>
        </w:rPr>
        <w:t xml:space="preserve">okud </w:t>
      </w:r>
      <w:r w:rsidR="00CF6E7C">
        <w:rPr>
          <w:rFonts w:eastAsia="Arial" w:cs="Times New Roman"/>
          <w:b/>
          <w:bCs/>
          <w:szCs w:val="24"/>
          <w:lang w:eastAsia="cs-CZ"/>
        </w:rPr>
        <w:t xml:space="preserve">zjistí, </w:t>
      </w:r>
      <w:r w:rsidR="00CF6E7C" w:rsidRPr="00365453">
        <w:rPr>
          <w:rFonts w:cs="Times New Roman"/>
          <w:b/>
          <w:bCs/>
          <w:szCs w:val="24"/>
        </w:rPr>
        <w:t>že důkaz dříve neznámý by mohl svědčit ve prospěch ob</w:t>
      </w:r>
      <w:r w:rsidR="00CF6E7C">
        <w:rPr>
          <w:rFonts w:cs="Times New Roman"/>
          <w:b/>
          <w:bCs/>
          <w:szCs w:val="24"/>
        </w:rPr>
        <w:t xml:space="preserve">viněného, pak, </w:t>
      </w:r>
      <w:r w:rsidR="00C12921">
        <w:rPr>
          <w:rFonts w:cs="Times New Roman"/>
          <w:b/>
          <w:bCs/>
          <w:szCs w:val="24"/>
        </w:rPr>
        <w:t xml:space="preserve">nevezme-li </w:t>
      </w:r>
      <w:r w:rsidR="00CF6E7C">
        <w:rPr>
          <w:rFonts w:cs="Times New Roman"/>
          <w:b/>
          <w:bCs/>
          <w:szCs w:val="24"/>
        </w:rPr>
        <w:t xml:space="preserve">z tohoto důvodu obžalobu </w:t>
      </w:r>
      <w:r w:rsidR="006E0902">
        <w:rPr>
          <w:rFonts w:cs="Times New Roman"/>
          <w:b/>
          <w:bCs/>
          <w:szCs w:val="24"/>
        </w:rPr>
        <w:t xml:space="preserve">nebo návrh uvedený v odstavci 1 </w:t>
      </w:r>
      <w:r w:rsidR="00CF6E7C">
        <w:rPr>
          <w:rFonts w:cs="Times New Roman"/>
          <w:b/>
          <w:bCs/>
          <w:szCs w:val="24"/>
        </w:rPr>
        <w:t>zpět, o tom informuje soud a obviněného.</w:t>
      </w:r>
    </w:p>
    <w:p w14:paraId="2B0F5952" w14:textId="77777777" w:rsidR="00E328E3" w:rsidRPr="00E328E3" w:rsidRDefault="00E328E3" w:rsidP="00E328E3">
      <w:pPr>
        <w:spacing w:line="240" w:lineRule="auto"/>
        <w:ind w:firstLine="426"/>
        <w:rPr>
          <w:rFonts w:eastAsia="Calibri" w:cs="Times New Roman"/>
          <w:szCs w:val="24"/>
        </w:rPr>
      </w:pPr>
      <w:r w:rsidRPr="00E328E3">
        <w:rPr>
          <w:rFonts w:eastAsia="Calibri" w:cs="Times New Roman"/>
          <w:szCs w:val="24"/>
        </w:rPr>
        <w:t>(3) Při dokazování v hlavním líčení a ve veřejném zasedání státní zástupce navrhuje provedení důkazů, které nebyly navrženy již v obžalobě a potřeba je provést vznikla v průběhu řízení před soudem; zpravidla provádí se souhlasem nebo na výzvu předsedy senátu důkazy (</w:t>
      </w:r>
      <w:hyperlink r:id="rId33" w:history="1">
        <w:r w:rsidRPr="00E328E3">
          <w:rPr>
            <w:rStyle w:val="Hypertextovodkaz"/>
            <w:rFonts w:eastAsia="Calibri" w:cs="Times New Roman"/>
            <w:color w:val="auto"/>
            <w:szCs w:val="24"/>
            <w:u w:val="none"/>
          </w:rPr>
          <w:t>§ 203</w:t>
        </w:r>
      </w:hyperlink>
      <w:r w:rsidRPr="00E328E3">
        <w:rPr>
          <w:rFonts w:eastAsia="Calibri" w:cs="Times New Roman"/>
          <w:szCs w:val="24"/>
        </w:rPr>
        <w:t>, </w:t>
      </w:r>
      <w:hyperlink r:id="rId34" w:history="1">
        <w:r w:rsidRPr="00E328E3">
          <w:rPr>
            <w:rStyle w:val="Hypertextovodkaz"/>
            <w:rFonts w:eastAsia="Calibri" w:cs="Times New Roman"/>
            <w:color w:val="auto"/>
            <w:szCs w:val="24"/>
            <w:u w:val="none"/>
          </w:rPr>
          <w:t>§ 215 odst. 2</w:t>
        </w:r>
      </w:hyperlink>
      <w:r w:rsidRPr="00E328E3">
        <w:rPr>
          <w:rFonts w:eastAsia="Calibri" w:cs="Times New Roman"/>
          <w:szCs w:val="24"/>
        </w:rPr>
        <w:t>), které podporují obžalobu. Obhájce nebo obviněný, který nemá obhájce, má právo ve stejném rozsahu se souhlasem předsedy senátu provádět důkazy (</w:t>
      </w:r>
      <w:hyperlink r:id="rId35" w:history="1">
        <w:r w:rsidRPr="00E328E3">
          <w:rPr>
            <w:rStyle w:val="Hypertextovodkaz"/>
            <w:rFonts w:eastAsia="Calibri" w:cs="Times New Roman"/>
            <w:color w:val="auto"/>
            <w:szCs w:val="24"/>
            <w:u w:val="none"/>
          </w:rPr>
          <w:t>§ 215 odst. 2</w:t>
        </w:r>
      </w:hyperlink>
      <w:r w:rsidRPr="00E328E3">
        <w:rPr>
          <w:rFonts w:eastAsia="Calibri" w:cs="Times New Roman"/>
          <w:szCs w:val="24"/>
        </w:rPr>
        <w:t>) ve prospěch obhajoby. Spočívá-li provedení těchto důkazů některou ze stran ve výslechu svědka nebo znalce, provede jeho zákonné poučení před započetím výslechu předseda senátu nebo jiný pověřený člen senátu.</w:t>
      </w:r>
    </w:p>
    <w:p w14:paraId="6523080D" w14:textId="6B5F56C6" w:rsidR="00E328E3" w:rsidRPr="00A2188C" w:rsidRDefault="00E328E3" w:rsidP="00E328E3">
      <w:pPr>
        <w:spacing w:line="240" w:lineRule="auto"/>
        <w:ind w:firstLine="426"/>
        <w:rPr>
          <w:rFonts w:eastAsia="Calibri" w:cs="Times New Roman"/>
          <w:szCs w:val="24"/>
        </w:rPr>
      </w:pPr>
      <w:r w:rsidRPr="00E328E3">
        <w:rPr>
          <w:rFonts w:eastAsia="Calibri" w:cs="Times New Roman"/>
          <w:szCs w:val="24"/>
        </w:rPr>
        <w:t>(4) V hlavním líčení, ve veřejném zasedání nebo při jiném úkonu soudu prováděném za přítomnosti stran, může každá ze stran vznášet kdykoliv v jeho průběhu námitky proti způsobu provádění úkonu.</w:t>
      </w:r>
    </w:p>
    <w:p w14:paraId="127090CC" w14:textId="222A86C4" w:rsidR="00B06B5E" w:rsidRDefault="00B06B5E" w:rsidP="008E1253">
      <w:pPr>
        <w:keepNext/>
        <w:spacing w:line="240" w:lineRule="auto"/>
        <w:jc w:val="center"/>
        <w:outlineLvl w:val="1"/>
        <w:rPr>
          <w:rFonts w:eastAsia="Arial" w:cs="Times New Roman"/>
          <w:szCs w:val="24"/>
          <w:lang w:eastAsia="cs-CZ"/>
        </w:rPr>
      </w:pPr>
      <w:r>
        <w:rPr>
          <w:rFonts w:eastAsia="Arial" w:cs="Times New Roman"/>
          <w:szCs w:val="24"/>
          <w:lang w:eastAsia="cs-CZ"/>
        </w:rPr>
        <w:t>§ 183a</w:t>
      </w:r>
    </w:p>
    <w:p w14:paraId="674F08BE" w14:textId="094F549E" w:rsidR="00B06B5E" w:rsidRPr="00B06B5E" w:rsidRDefault="00B06B5E" w:rsidP="00B06B5E">
      <w:pPr>
        <w:keepNext/>
        <w:tabs>
          <w:tab w:val="left" w:pos="426"/>
        </w:tabs>
        <w:spacing w:line="240" w:lineRule="auto"/>
        <w:outlineLvl w:val="1"/>
        <w:rPr>
          <w:rFonts w:eastAsia="Arial" w:cs="Times New Roman"/>
          <w:szCs w:val="24"/>
          <w:lang w:eastAsia="cs-CZ"/>
        </w:rPr>
      </w:pPr>
      <w:r>
        <w:rPr>
          <w:rFonts w:eastAsia="Arial" w:cs="Times New Roman"/>
          <w:szCs w:val="24"/>
          <w:lang w:eastAsia="cs-CZ"/>
        </w:rPr>
        <w:tab/>
      </w:r>
      <w:r w:rsidRPr="00B06B5E">
        <w:rPr>
          <w:rFonts w:eastAsia="Arial" w:cs="Times New Roman"/>
          <w:szCs w:val="24"/>
          <w:lang w:eastAsia="cs-CZ"/>
        </w:rPr>
        <w:t>(1) V řízení před soudem může předseda senátu nebo jiný pověřený člen senátu výjimečně z důležitých důvodů vyslechnout obviněného, svědka, znalce nebo provést jiný důkaz mimo hlavní líčení nebo veřejné zasedání. Státní zástupce i obhájce obviněného, kterého se takový úkon týká, jsou oprávněni se takového úkonu zúčastnit a o jeho konání být včas vyrozuměni, ledaže nelze provedení úkonu odložit a jejich vyrozumění nelze zajistit. Účast obviněného na takovém výslechu může být připuštěna zejména v případech, kdy nemá obhájce, a jde-li o výslech svědka, který má právo odepřít výpověď. Vyrozumění o výslechu svědka nebo o jiném úkonu s takovým svědkem, jehož totožnost má být z důvodů uvedených v </w:t>
      </w:r>
      <w:hyperlink r:id="rId36" w:history="1">
        <w:r w:rsidRPr="00B06B5E">
          <w:rPr>
            <w:rStyle w:val="Hypertextovodkaz"/>
            <w:rFonts w:eastAsia="Arial" w:cs="Times New Roman"/>
            <w:color w:val="auto"/>
            <w:szCs w:val="24"/>
            <w:u w:val="none"/>
            <w:lang w:eastAsia="cs-CZ"/>
          </w:rPr>
          <w:t>§ 55 odst. 2</w:t>
        </w:r>
      </w:hyperlink>
      <w:r w:rsidRPr="00B06B5E">
        <w:rPr>
          <w:rFonts w:eastAsia="Arial" w:cs="Times New Roman"/>
          <w:szCs w:val="24"/>
          <w:lang w:eastAsia="cs-CZ"/>
        </w:rPr>
        <w:t> utajena, nesmí obsahovat údaje, podle nichž by bylo možné zjistit skutečnou totožnost svědka.</w:t>
      </w:r>
    </w:p>
    <w:p w14:paraId="5E0F426E" w14:textId="77777777" w:rsidR="00B06B5E" w:rsidRPr="00B06B5E" w:rsidRDefault="00B06B5E" w:rsidP="00B06B5E">
      <w:pPr>
        <w:keepNext/>
        <w:spacing w:line="240" w:lineRule="auto"/>
        <w:ind w:firstLine="426"/>
        <w:outlineLvl w:val="1"/>
        <w:rPr>
          <w:rFonts w:eastAsia="Arial" w:cs="Times New Roman"/>
          <w:szCs w:val="24"/>
          <w:lang w:eastAsia="cs-CZ"/>
        </w:rPr>
      </w:pPr>
      <w:r w:rsidRPr="00B06B5E">
        <w:rPr>
          <w:rFonts w:eastAsia="Arial" w:cs="Times New Roman"/>
          <w:szCs w:val="24"/>
          <w:lang w:eastAsia="cs-CZ"/>
        </w:rPr>
        <w:t>(2) Účast osob uvedených v odstavci 1 na úkonu může být zajištěna, zejména jde-li o úkon, na němž se účastní osoba mladší než osmnáct let nebo svědek, jehož totožnost má být z důvodů uvedených v </w:t>
      </w:r>
      <w:hyperlink r:id="rId37" w:history="1">
        <w:r w:rsidRPr="00B06B5E">
          <w:rPr>
            <w:rStyle w:val="Hypertextovodkaz"/>
            <w:rFonts w:eastAsia="Arial" w:cs="Times New Roman"/>
            <w:color w:val="auto"/>
            <w:szCs w:val="24"/>
            <w:u w:val="none"/>
            <w:lang w:eastAsia="cs-CZ"/>
          </w:rPr>
          <w:t>§ 55 odst. 2</w:t>
        </w:r>
      </w:hyperlink>
      <w:r w:rsidRPr="00B06B5E">
        <w:rPr>
          <w:rFonts w:eastAsia="Arial" w:cs="Times New Roman"/>
          <w:szCs w:val="24"/>
          <w:lang w:eastAsia="cs-CZ"/>
        </w:rPr>
        <w:t> utajena, i prostřednictvím videokonferenčního zařízení.</w:t>
      </w:r>
    </w:p>
    <w:p w14:paraId="0A7454E6" w14:textId="25FAD924" w:rsidR="00B06B5E" w:rsidRPr="00B06B5E" w:rsidRDefault="00B06B5E" w:rsidP="00B06B5E">
      <w:pPr>
        <w:keepNext/>
        <w:spacing w:line="240" w:lineRule="auto"/>
        <w:ind w:firstLine="426"/>
        <w:outlineLvl w:val="1"/>
        <w:rPr>
          <w:rFonts w:eastAsia="Arial" w:cs="Times New Roman"/>
          <w:szCs w:val="24"/>
          <w:lang w:eastAsia="cs-CZ"/>
        </w:rPr>
      </w:pPr>
      <w:r w:rsidRPr="00B06B5E">
        <w:rPr>
          <w:rFonts w:eastAsia="Arial" w:cs="Times New Roman"/>
          <w:szCs w:val="24"/>
          <w:lang w:eastAsia="cs-CZ"/>
        </w:rPr>
        <w:t xml:space="preserve">(3) Má-li takový důkaz později sloužit k rozhodnutí v hlavním líčení, veřejném nebo neveřejném zasedání, musí v něm být v souladu se zákonem proveden. Číst protokol o výslechu takového svědka nebo přehrát </w:t>
      </w:r>
      <w:r w:rsidRPr="00A41308">
        <w:rPr>
          <w:rFonts w:eastAsia="Arial" w:cs="Times New Roman"/>
          <w:strike/>
          <w:szCs w:val="24"/>
          <w:lang w:eastAsia="cs-CZ"/>
        </w:rPr>
        <w:t>obrazový a zvukový záznam pořízený o jeho výslechu</w:t>
      </w:r>
      <w:r w:rsidRPr="00B06B5E">
        <w:rPr>
          <w:rFonts w:eastAsia="Arial" w:cs="Times New Roman"/>
          <w:szCs w:val="24"/>
          <w:lang w:eastAsia="cs-CZ"/>
        </w:rPr>
        <w:t xml:space="preserve"> </w:t>
      </w:r>
      <w:r w:rsidRPr="00B06B5E">
        <w:rPr>
          <w:rFonts w:eastAsia="Arial" w:cs="Times New Roman"/>
          <w:strike/>
          <w:szCs w:val="24"/>
          <w:lang w:eastAsia="cs-CZ"/>
        </w:rPr>
        <w:t>provedeném prostřednictvím videokonferenčního zařízení</w:t>
      </w:r>
      <w:r w:rsidRPr="00B06B5E">
        <w:rPr>
          <w:rFonts w:eastAsia="Arial" w:cs="Times New Roman"/>
          <w:szCs w:val="24"/>
          <w:lang w:eastAsia="cs-CZ"/>
        </w:rPr>
        <w:t xml:space="preserve"> </w:t>
      </w:r>
      <w:r w:rsidR="00A41308">
        <w:rPr>
          <w:rFonts w:eastAsia="Arial" w:cs="Times New Roman"/>
          <w:b/>
          <w:bCs/>
          <w:szCs w:val="24"/>
          <w:lang w:eastAsia="cs-CZ"/>
        </w:rPr>
        <w:t xml:space="preserve">záznam pořízený o jeho výslechu </w:t>
      </w:r>
      <w:r w:rsidRPr="00B06B5E">
        <w:rPr>
          <w:rFonts w:eastAsia="Arial" w:cs="Times New Roman"/>
          <w:szCs w:val="24"/>
          <w:lang w:eastAsia="cs-CZ"/>
        </w:rPr>
        <w:t>je možné v hlavním líčení nebo veřejném zasedání o odvolání pouze za podmínek uvedených v </w:t>
      </w:r>
      <w:hyperlink r:id="rId38" w:history="1">
        <w:r w:rsidRPr="00B06B5E">
          <w:rPr>
            <w:rStyle w:val="Hypertextovodkaz"/>
            <w:rFonts w:eastAsia="Arial" w:cs="Times New Roman"/>
            <w:color w:val="auto"/>
            <w:szCs w:val="24"/>
            <w:u w:val="none"/>
            <w:lang w:eastAsia="cs-CZ"/>
          </w:rPr>
          <w:t>§ 211</w:t>
        </w:r>
      </w:hyperlink>
      <w:r w:rsidRPr="00B06B5E">
        <w:rPr>
          <w:rFonts w:eastAsia="Arial" w:cs="Times New Roman"/>
          <w:szCs w:val="24"/>
          <w:lang w:eastAsia="cs-CZ"/>
        </w:rPr>
        <w:t>, a jde-li o svědka mladšího než osmnáct let, o okolnostech, jejichž oživování v paměti by vzhledem k věku mohlo nepříznivě ovlivňovat jeho duševní a mravní vývoj, za podmínek uvedených v </w:t>
      </w:r>
      <w:hyperlink r:id="rId39" w:history="1">
        <w:r w:rsidRPr="00B06B5E">
          <w:rPr>
            <w:rStyle w:val="Hypertextovodkaz"/>
            <w:rFonts w:eastAsia="Arial" w:cs="Times New Roman"/>
            <w:color w:val="auto"/>
            <w:szCs w:val="24"/>
            <w:u w:val="none"/>
            <w:lang w:eastAsia="cs-CZ"/>
          </w:rPr>
          <w:t>§ 102 odst. 2</w:t>
        </w:r>
      </w:hyperlink>
      <w:r w:rsidRPr="00B06B5E">
        <w:rPr>
          <w:rFonts w:eastAsia="Arial" w:cs="Times New Roman"/>
          <w:szCs w:val="24"/>
          <w:lang w:eastAsia="cs-CZ"/>
        </w:rPr>
        <w:t>.</w:t>
      </w:r>
    </w:p>
    <w:p w14:paraId="6B837856" w14:textId="1D095003" w:rsidR="00B06B5E" w:rsidRDefault="00B06B5E" w:rsidP="00B06B5E">
      <w:pPr>
        <w:keepNext/>
        <w:spacing w:line="240" w:lineRule="auto"/>
        <w:ind w:firstLine="426"/>
        <w:outlineLvl w:val="1"/>
        <w:rPr>
          <w:rFonts w:eastAsia="Arial" w:cs="Times New Roman"/>
          <w:szCs w:val="24"/>
          <w:lang w:eastAsia="cs-CZ"/>
        </w:rPr>
      </w:pPr>
      <w:r w:rsidRPr="00B06B5E">
        <w:rPr>
          <w:rFonts w:eastAsia="Arial" w:cs="Times New Roman"/>
          <w:szCs w:val="24"/>
          <w:lang w:eastAsia="cs-CZ"/>
        </w:rPr>
        <w:t>(4) Předseda senátu dbá na ochranu svědků a osob jim blízkých, kterým v souvislosti s podáním svědectví hrozí újma na zdraví, smrt nebo jiné vážné nebezpečí, a je-li to třeba i na utajení jejich totožnosti, popřípadě podoby. Pokud je třeba zajistit ochranu těchto osob i po podání svědectví, předseda senátu učiní po ukončení výslechu bezodkladně všechna potřebná opatření. V nezbytných případech požádá o ochranu uvedených osob orgány Policie České republiky. Způsob zvláštní ochrany svědků a osob jim blízkých stanoví zvláštní zákon.</w:t>
      </w:r>
    </w:p>
    <w:p w14:paraId="3411601A" w14:textId="68514FD5" w:rsidR="0034551A" w:rsidRPr="00A2188C" w:rsidRDefault="0034551A" w:rsidP="008E1253">
      <w:pPr>
        <w:keepNext/>
        <w:spacing w:line="240" w:lineRule="auto"/>
        <w:jc w:val="center"/>
        <w:outlineLvl w:val="1"/>
        <w:rPr>
          <w:rFonts w:eastAsia="Arial" w:cs="Times New Roman"/>
          <w:szCs w:val="24"/>
          <w:lang w:eastAsia="cs-CZ"/>
        </w:rPr>
      </w:pPr>
      <w:r w:rsidRPr="00A2188C">
        <w:rPr>
          <w:rFonts w:eastAsia="Arial" w:cs="Times New Roman"/>
          <w:szCs w:val="24"/>
          <w:lang w:eastAsia="cs-CZ"/>
        </w:rPr>
        <w:t>§ 202</w:t>
      </w:r>
    </w:p>
    <w:p w14:paraId="195A3312" w14:textId="77777777" w:rsidR="0034551A" w:rsidRPr="003E6AE3" w:rsidRDefault="0034551A" w:rsidP="008E1253">
      <w:pPr>
        <w:tabs>
          <w:tab w:val="left" w:pos="426"/>
        </w:tabs>
        <w:spacing w:line="240" w:lineRule="auto"/>
        <w:jc w:val="center"/>
        <w:rPr>
          <w:rFonts w:eastAsia="Arial" w:cs="Times New Roman"/>
          <w:szCs w:val="24"/>
          <w:lang w:eastAsia="cs-CZ"/>
        </w:rPr>
      </w:pPr>
      <w:r w:rsidRPr="003E6AE3">
        <w:rPr>
          <w:rFonts w:eastAsia="Arial" w:cs="Times New Roman"/>
          <w:szCs w:val="24"/>
          <w:lang w:eastAsia="cs-CZ"/>
        </w:rPr>
        <w:t>Přítomnost při hlavním líčení</w:t>
      </w:r>
    </w:p>
    <w:p w14:paraId="3465EE84" w14:textId="643A8B8A" w:rsidR="0034551A" w:rsidRPr="00A2188C" w:rsidRDefault="0034551A" w:rsidP="008E1253">
      <w:pPr>
        <w:spacing w:line="240" w:lineRule="auto"/>
        <w:ind w:firstLine="425"/>
        <w:rPr>
          <w:rFonts w:eastAsia="Times New Roman" w:cs="Times New Roman"/>
          <w:szCs w:val="24"/>
          <w:highlight w:val="white"/>
        </w:rPr>
      </w:pPr>
      <w:r w:rsidRPr="00A2188C">
        <w:rPr>
          <w:rFonts w:eastAsia="Times New Roman" w:cs="Times New Roman"/>
          <w:szCs w:val="24"/>
          <w:highlight w:val="white"/>
        </w:rPr>
        <w:t>(1) Hlavní líčení se koná za stálé přítomnosti samosoudce a v případech, kdy rozhoduje senát, za stálé přítomnosti všech členů senátu, zapisovatele</w:t>
      </w:r>
      <w:r w:rsidR="00E0164A" w:rsidRPr="00A2188C">
        <w:rPr>
          <w:rFonts w:eastAsia="Times New Roman" w:cs="Times New Roman"/>
          <w:b/>
          <w:bCs/>
          <w:szCs w:val="24"/>
          <w:highlight w:val="white"/>
        </w:rPr>
        <w:t>, pokud byl přibrán,</w:t>
      </w:r>
      <w:r w:rsidRPr="00A2188C">
        <w:rPr>
          <w:rFonts w:eastAsia="Times New Roman" w:cs="Times New Roman"/>
          <w:szCs w:val="24"/>
          <w:highlight w:val="white"/>
        </w:rPr>
        <w:t xml:space="preserve"> a státního zástupce. Přítomnost obžalovaného nebo jiných osob může být zajištěna i prostřednictvím videokonferenčního zařízení; </w:t>
      </w:r>
      <w:hyperlink r:id="rId40" w:history="1">
        <w:r w:rsidRPr="00A2188C">
          <w:rPr>
            <w:rFonts w:eastAsia="Times New Roman"/>
            <w:highlight w:val="white"/>
          </w:rPr>
          <w:t>§ 111a</w:t>
        </w:r>
      </w:hyperlink>
      <w:r w:rsidRPr="00A2188C">
        <w:rPr>
          <w:rFonts w:eastAsia="Times New Roman" w:cs="Times New Roman"/>
          <w:szCs w:val="24"/>
          <w:highlight w:val="white"/>
        </w:rPr>
        <w:t> se užije obdobně.</w:t>
      </w:r>
    </w:p>
    <w:p w14:paraId="457C018A" w14:textId="35082B8A" w:rsidR="0034551A" w:rsidRPr="00A2188C" w:rsidRDefault="0034551A" w:rsidP="008E1253">
      <w:pPr>
        <w:spacing w:line="240" w:lineRule="auto"/>
        <w:ind w:firstLine="425"/>
        <w:rPr>
          <w:rFonts w:eastAsia="Times New Roman" w:cs="Times New Roman"/>
          <w:szCs w:val="24"/>
          <w:highlight w:val="white"/>
        </w:rPr>
      </w:pPr>
      <w:r w:rsidRPr="00A2188C">
        <w:rPr>
          <w:rFonts w:eastAsia="Times New Roman" w:cs="Times New Roman"/>
          <w:szCs w:val="24"/>
          <w:highlight w:val="white"/>
        </w:rPr>
        <w:t>(2) V nepřítomnosti obžalovaného může se hlavní líčení provést, jen když soud má za to, že lze věc spolehlivě rozhodnout a účelu trestního řízení dosáhnout i bez přítomnosti obžalovaného, a přitom</w:t>
      </w:r>
    </w:p>
    <w:p w14:paraId="4153DED4" w14:textId="77777777" w:rsidR="0034551A" w:rsidRPr="003E6AE3" w:rsidRDefault="0034551A"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a) obžaloba byla obžalovanému řádně doručena a obžalovaný byl k hlavnímu líčení včas a řádně předvolán a</w:t>
      </w:r>
    </w:p>
    <w:p w14:paraId="7CEABB0D" w14:textId="77777777" w:rsidR="00A2188C" w:rsidRDefault="0034551A"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b) o skutku, který je předmětem obžaloby, byl obžalovaný už některým orgánem činným v</w:t>
      </w:r>
      <w:r w:rsidR="00DF27AF" w:rsidRPr="003E6AE3">
        <w:rPr>
          <w:rFonts w:eastAsia="Arial" w:cs="Times New Roman"/>
          <w:szCs w:val="24"/>
          <w:lang w:eastAsia="cs-CZ"/>
        </w:rPr>
        <w:t> </w:t>
      </w:r>
      <w:r w:rsidRPr="003E6AE3">
        <w:rPr>
          <w:rFonts w:eastAsia="Arial" w:cs="Times New Roman"/>
          <w:szCs w:val="24"/>
          <w:lang w:eastAsia="cs-CZ"/>
        </w:rPr>
        <w:t>trestním řízení vyslechnut a bylo dodrženo ustanovení o zahájení trestního stíhání (</w:t>
      </w:r>
      <w:hyperlink r:id="rId41" w:history="1">
        <w:r w:rsidRPr="003E6AE3">
          <w:rPr>
            <w:rStyle w:val="Hypertextovodkaz"/>
            <w:rFonts w:eastAsia="Arial" w:cs="Times New Roman"/>
            <w:color w:val="auto"/>
            <w:szCs w:val="24"/>
            <w:u w:val="none"/>
            <w:lang w:eastAsia="cs-CZ"/>
          </w:rPr>
          <w:t>§ 160</w:t>
        </w:r>
      </w:hyperlink>
      <w:r w:rsidRPr="003E6AE3">
        <w:rPr>
          <w:rFonts w:eastAsia="Arial" w:cs="Times New Roman"/>
          <w:szCs w:val="24"/>
          <w:lang w:eastAsia="cs-CZ"/>
        </w:rPr>
        <w:t>) a obviněný byl upozorněn na možnost prostudovat spis a učinit návrhy na doplnění vyšetřování (</w:t>
      </w:r>
      <w:hyperlink r:id="rId42" w:history="1">
        <w:r w:rsidRPr="003E6AE3">
          <w:rPr>
            <w:rStyle w:val="Hypertextovodkaz"/>
            <w:rFonts w:eastAsia="Arial" w:cs="Times New Roman"/>
            <w:color w:val="auto"/>
            <w:szCs w:val="24"/>
            <w:u w:val="none"/>
            <w:lang w:eastAsia="cs-CZ"/>
          </w:rPr>
          <w:t>§ 166 odst. 1</w:t>
        </w:r>
      </w:hyperlink>
      <w:r w:rsidRPr="003E6AE3">
        <w:rPr>
          <w:rFonts w:eastAsia="Arial" w:cs="Times New Roman"/>
          <w:szCs w:val="24"/>
          <w:lang w:eastAsia="cs-CZ"/>
        </w:rPr>
        <w:t>);</w:t>
      </w:r>
    </w:p>
    <w:p w14:paraId="70F83E57" w14:textId="597BC96A" w:rsidR="0034551A" w:rsidRPr="003E6AE3" w:rsidRDefault="0034551A"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na to a na jiné následky nedostavení (</w:t>
      </w:r>
      <w:hyperlink r:id="rId43" w:history="1">
        <w:r w:rsidRPr="003E6AE3">
          <w:rPr>
            <w:rStyle w:val="Hypertextovodkaz"/>
            <w:rFonts w:eastAsia="Arial" w:cs="Times New Roman"/>
            <w:color w:val="auto"/>
            <w:szCs w:val="24"/>
            <w:u w:val="none"/>
            <w:lang w:eastAsia="cs-CZ"/>
          </w:rPr>
          <w:t>§ 66</w:t>
        </w:r>
      </w:hyperlink>
      <w:r w:rsidRPr="003E6AE3">
        <w:rPr>
          <w:rFonts w:eastAsia="Arial" w:cs="Times New Roman"/>
          <w:szCs w:val="24"/>
          <w:lang w:eastAsia="cs-CZ"/>
        </w:rPr>
        <w:t> a </w:t>
      </w:r>
      <w:hyperlink r:id="rId44" w:history="1">
        <w:r w:rsidRPr="003E6AE3">
          <w:rPr>
            <w:rStyle w:val="Hypertextovodkaz"/>
            <w:rFonts w:eastAsia="Arial" w:cs="Times New Roman"/>
            <w:color w:val="auto"/>
            <w:szCs w:val="24"/>
            <w:u w:val="none"/>
            <w:lang w:eastAsia="cs-CZ"/>
          </w:rPr>
          <w:t>90</w:t>
        </w:r>
      </w:hyperlink>
      <w:r w:rsidRPr="003E6AE3">
        <w:rPr>
          <w:rFonts w:eastAsia="Arial" w:cs="Times New Roman"/>
          <w:szCs w:val="24"/>
          <w:lang w:eastAsia="cs-CZ"/>
        </w:rPr>
        <w:t>) musí být obžalovaný v předvolání upozorněn.</w:t>
      </w:r>
    </w:p>
    <w:p w14:paraId="7E7C8BD5" w14:textId="45711F0C" w:rsidR="0034551A" w:rsidRPr="001C2265" w:rsidRDefault="0034551A"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(3) Nedostaví-li se obžalovaný bez řádné omluvy k hlavnímu líčení a soud rozhodne o tom, že se hlavní líčení bude konat v nepřítomnosti obžalovaného, lze v hlavním líčení protokoly o</w:t>
      </w:r>
      <w:r w:rsidR="00DF27AF" w:rsidRPr="001C2265">
        <w:rPr>
          <w:rFonts w:eastAsia="Times New Roman" w:cs="Times New Roman"/>
          <w:szCs w:val="24"/>
          <w:highlight w:val="white"/>
        </w:rPr>
        <w:t> </w:t>
      </w:r>
      <w:r w:rsidRPr="001C2265">
        <w:rPr>
          <w:rFonts w:eastAsia="Times New Roman" w:cs="Times New Roman"/>
          <w:szCs w:val="24"/>
          <w:highlight w:val="white"/>
        </w:rPr>
        <w:t xml:space="preserve">výslechu svědků, znalců a spoluobviněných přečíst nebo </w:t>
      </w:r>
      <w:r w:rsidRPr="006D3565">
        <w:rPr>
          <w:rFonts w:eastAsia="Times New Roman" w:cs="Times New Roman"/>
          <w:strike/>
          <w:szCs w:val="24"/>
          <w:highlight w:val="white"/>
        </w:rPr>
        <w:t>obrazové a zvukové záznamy pořízené o jejich výslechu provedeném prostřednictvím videokonferenčního</w:t>
      </w:r>
      <w:r w:rsidRPr="00EB2AE0">
        <w:rPr>
          <w:rFonts w:eastAsia="Times New Roman" w:cs="Times New Roman"/>
          <w:strike/>
          <w:szCs w:val="24"/>
          <w:highlight w:val="white"/>
        </w:rPr>
        <w:t xml:space="preserve"> zařízení</w:t>
      </w:r>
      <w:r w:rsidRPr="001C2265">
        <w:rPr>
          <w:rFonts w:eastAsia="Times New Roman" w:cs="Times New Roman"/>
          <w:szCs w:val="24"/>
          <w:highlight w:val="white"/>
        </w:rPr>
        <w:t xml:space="preserve"> </w:t>
      </w:r>
      <w:r w:rsidR="006D3565">
        <w:rPr>
          <w:rFonts w:eastAsia="Times New Roman" w:cs="Times New Roman"/>
          <w:b/>
          <w:bCs/>
          <w:szCs w:val="24"/>
          <w:highlight w:val="white"/>
        </w:rPr>
        <w:t xml:space="preserve">záznamy pořízené o jejich výslechu </w:t>
      </w:r>
      <w:r w:rsidRPr="001C2265">
        <w:rPr>
          <w:rFonts w:eastAsia="Times New Roman" w:cs="Times New Roman"/>
          <w:szCs w:val="24"/>
          <w:highlight w:val="white"/>
        </w:rPr>
        <w:t>přehrát za podmínek uvedených v </w:t>
      </w:r>
      <w:hyperlink r:id="rId45" w:history="1">
        <w:r w:rsidRPr="001C2265">
          <w:rPr>
            <w:rFonts w:eastAsia="Times New Roman"/>
            <w:highlight w:val="white"/>
          </w:rPr>
          <w:t>§ 211</w:t>
        </w:r>
      </w:hyperlink>
      <w:r w:rsidRPr="001C2265">
        <w:rPr>
          <w:rFonts w:eastAsia="Times New Roman" w:cs="Times New Roman"/>
          <w:szCs w:val="24"/>
          <w:highlight w:val="white"/>
        </w:rPr>
        <w:t>.</w:t>
      </w:r>
    </w:p>
    <w:p w14:paraId="0B0D70E1" w14:textId="2587DBB4" w:rsidR="0034551A" w:rsidRPr="001C2265" w:rsidRDefault="0034551A"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(4) Hlavní líčení v nepřítomnosti obžalovaného nelze konat, je-li obžalovaný ve vazbě nebo ve výkonu trestu odnětí svobody nebo jde-li o trestný čin, na který zákon stanoví trest odnětí svobody, jehož horní hranice převyšuje pět let. V případech nutné obhajoby (</w:t>
      </w:r>
      <w:hyperlink r:id="rId46" w:history="1">
        <w:r w:rsidRPr="001C2265">
          <w:rPr>
            <w:rFonts w:eastAsia="Times New Roman"/>
            <w:highlight w:val="white"/>
          </w:rPr>
          <w:t>§ 36</w:t>
        </w:r>
      </w:hyperlink>
      <w:r w:rsidRPr="001C2265">
        <w:rPr>
          <w:rFonts w:eastAsia="Times New Roman" w:cs="Times New Roman"/>
          <w:szCs w:val="24"/>
          <w:highlight w:val="white"/>
        </w:rPr>
        <w:t>) nelze konat hlavní líčení bez přítomnosti obhájce.</w:t>
      </w:r>
    </w:p>
    <w:p w14:paraId="1DB01D04" w14:textId="0A2C5AE1" w:rsidR="0034551A" w:rsidRPr="001C2265" w:rsidRDefault="0034551A"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(5) Ustanovení první věty odstavce 4 se neužije, pokud obžalovaný požádá, aby hlavní líčení bylo konáno v jeho nepřítomnosti. Ustanovení odstavce 3 se tu užije přiměřeně.</w:t>
      </w:r>
    </w:p>
    <w:p w14:paraId="59128FDC" w14:textId="62A71BF1" w:rsidR="0034551A" w:rsidRPr="001C2265" w:rsidRDefault="0034551A"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(6) Poškozený a zúčastněná osoba a jejich zmocněnci mají právo se osobně zúčastnit hlavního líčení. Předseda senátu může na nezbytnou dobu omezit účast poškozeného a</w:t>
      </w:r>
      <w:r w:rsidR="005C7940" w:rsidRPr="001C2265">
        <w:rPr>
          <w:rFonts w:eastAsia="Times New Roman" w:cs="Times New Roman"/>
          <w:szCs w:val="24"/>
          <w:highlight w:val="white"/>
        </w:rPr>
        <w:t> </w:t>
      </w:r>
      <w:r w:rsidRPr="001C2265">
        <w:rPr>
          <w:rFonts w:eastAsia="Times New Roman" w:cs="Times New Roman"/>
          <w:szCs w:val="24"/>
          <w:highlight w:val="white"/>
        </w:rPr>
        <w:t>zúčastněné osoby na hlavním líčení jen, je-li to nezbytné z hlediska objasnění věci, zejména mají-li být vyslechnuti jako svědci, kdy je třeba poškozeného a poté i zúčastněnou osobu zpravidla vyslechnout na počátku dokazování ihned po výslechu obžalovaného a ještě v</w:t>
      </w:r>
      <w:r w:rsidR="005C7940" w:rsidRPr="001C2265">
        <w:rPr>
          <w:rFonts w:eastAsia="Times New Roman" w:cs="Times New Roman"/>
          <w:szCs w:val="24"/>
          <w:highlight w:val="white"/>
        </w:rPr>
        <w:t> </w:t>
      </w:r>
      <w:r w:rsidRPr="001C2265">
        <w:rPr>
          <w:rFonts w:eastAsia="Times New Roman" w:cs="Times New Roman"/>
          <w:szCs w:val="24"/>
          <w:highlight w:val="white"/>
        </w:rPr>
        <w:t>průběhu dokazování je seznámit s obsahem výpovědi obžalovaného.</w:t>
      </w:r>
    </w:p>
    <w:p w14:paraId="10A36AB7" w14:textId="2F5FBAE4" w:rsidR="00CB6BD4" w:rsidRPr="003E6AE3" w:rsidRDefault="00CB6BD4"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210 </w:t>
      </w:r>
    </w:p>
    <w:p w14:paraId="71B673AB" w14:textId="348203FA" w:rsidR="00CB6BD4" w:rsidRDefault="00CB6BD4"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 xml:space="preserve">Jestliže znalec nepodal ještě ve věci písemný posudek anebo se od něho odchyluje nebo jej doplňuje, může mu předseda senátu uložit, aby posudek nebo jeho doplněk </w:t>
      </w:r>
      <w:r w:rsidRPr="003E6AE3">
        <w:rPr>
          <w:rFonts w:eastAsia="Arial" w:cs="Times New Roman"/>
          <w:strike/>
          <w:szCs w:val="24"/>
          <w:lang w:eastAsia="cs-CZ"/>
        </w:rPr>
        <w:t>nadiktoval do</w:t>
      </w:r>
      <w:r w:rsidR="001C2265">
        <w:rPr>
          <w:rFonts w:eastAsia="Arial" w:cs="Times New Roman"/>
          <w:strike/>
          <w:szCs w:val="24"/>
          <w:lang w:eastAsia="cs-CZ"/>
        </w:rPr>
        <w:t> </w:t>
      </w:r>
      <w:r w:rsidRPr="003E6AE3">
        <w:rPr>
          <w:rFonts w:eastAsia="Arial" w:cs="Times New Roman"/>
          <w:strike/>
          <w:szCs w:val="24"/>
          <w:lang w:eastAsia="cs-CZ"/>
        </w:rPr>
        <w:t>protokolu</w:t>
      </w:r>
      <w:r w:rsidRPr="003E6AE3">
        <w:rPr>
          <w:rFonts w:eastAsia="Arial" w:cs="Times New Roman"/>
          <w:szCs w:val="24"/>
          <w:lang w:eastAsia="cs-CZ"/>
        </w:rPr>
        <w:t xml:space="preserve"> </w:t>
      </w:r>
      <w:r w:rsidR="000300F9" w:rsidRPr="003E6AE3">
        <w:rPr>
          <w:rFonts w:eastAsia="Arial" w:cs="Times New Roman"/>
          <w:b/>
          <w:bCs/>
          <w:szCs w:val="24"/>
          <w:lang w:eastAsia="cs-CZ"/>
        </w:rPr>
        <w:t xml:space="preserve">ústně přednesl </w:t>
      </w:r>
      <w:r w:rsidRPr="003E6AE3">
        <w:rPr>
          <w:rFonts w:eastAsia="Arial" w:cs="Times New Roman"/>
          <w:szCs w:val="24"/>
          <w:lang w:eastAsia="cs-CZ"/>
        </w:rPr>
        <w:t>nebo jej sám napsal.</w:t>
      </w:r>
    </w:p>
    <w:p w14:paraId="2A0143AC" w14:textId="5E70608D" w:rsidR="00CB7850" w:rsidRDefault="00CB7850" w:rsidP="00CB7850">
      <w:pPr>
        <w:tabs>
          <w:tab w:val="left" w:pos="426"/>
        </w:tabs>
        <w:spacing w:line="240" w:lineRule="auto"/>
        <w:jc w:val="center"/>
        <w:rPr>
          <w:rFonts w:eastAsia="Arial" w:cs="Times New Roman"/>
          <w:szCs w:val="24"/>
          <w:lang w:eastAsia="cs-CZ"/>
        </w:rPr>
      </w:pPr>
      <w:r>
        <w:rPr>
          <w:rFonts w:eastAsia="Arial" w:cs="Times New Roman"/>
          <w:szCs w:val="24"/>
          <w:lang w:eastAsia="cs-CZ"/>
        </w:rPr>
        <w:t>§ 211</w:t>
      </w:r>
    </w:p>
    <w:p w14:paraId="046EE718" w14:textId="77777777" w:rsidR="00CB7850" w:rsidRPr="00CB7850" w:rsidRDefault="00CB7850" w:rsidP="00CB7850">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(1) Místo výslechu svědka lze v hlavním líčení číst protokol o jeho výpovědi, jestliže soud nepokládá osobní výslech za nutný a státní zástupce i obžalovaný s tím souhlasí. Jestliže se obžalovaný, který byl k hlavnímu líčení řádně předvolán, bez omluvy nedostaví, nebo se bez vážného důvodu z jednací síně vzdálí, souhlas obžalovaného s přečtením takového protokolu o výslechu svědka není třeba a postačí souhlas státního zástupce. Na tyto skutečnosti musí být obviněný v předvolání upozorněn.</w:t>
      </w:r>
    </w:p>
    <w:p w14:paraId="2DA43759" w14:textId="77777777" w:rsidR="00CB7850" w:rsidRPr="00CB7850" w:rsidRDefault="00CB7850" w:rsidP="00CB7850">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(2) Protokol o výpovědi spoluobžalovaného nebo svědka se přečte také tehdy, byl-li výslech proveden způsobem odpovídajícím ustanovení tohoto zákona a</w:t>
      </w:r>
    </w:p>
    <w:p w14:paraId="0FEC0A95" w14:textId="17B65807" w:rsidR="00CB7850" w:rsidRPr="00CB7850" w:rsidRDefault="00CB7850" w:rsidP="00CB7850">
      <w:pPr>
        <w:tabs>
          <w:tab w:val="left" w:pos="426"/>
        </w:tabs>
        <w:spacing w:line="240" w:lineRule="auto"/>
        <w:ind w:left="284" w:hanging="284"/>
        <w:rPr>
          <w:rFonts w:eastAsia="Arial" w:cs="Times New Roman"/>
          <w:szCs w:val="24"/>
          <w:lang w:eastAsia="cs-CZ"/>
        </w:rPr>
      </w:pPr>
      <w:r w:rsidRPr="00CB7850">
        <w:rPr>
          <w:rFonts w:eastAsia="Arial" w:cs="Times New Roman"/>
          <w:szCs w:val="24"/>
          <w:lang w:eastAsia="cs-CZ"/>
        </w:rPr>
        <w:t>a)</w:t>
      </w:r>
      <w:r>
        <w:rPr>
          <w:rFonts w:eastAsia="Arial" w:cs="Times New Roman"/>
          <w:szCs w:val="24"/>
          <w:lang w:eastAsia="cs-CZ"/>
        </w:rPr>
        <w:t xml:space="preserve"> </w:t>
      </w:r>
      <w:r w:rsidRPr="00CB7850">
        <w:rPr>
          <w:rFonts w:eastAsia="Arial" w:cs="Times New Roman"/>
          <w:szCs w:val="24"/>
          <w:lang w:eastAsia="cs-CZ"/>
        </w:rPr>
        <w:t>taková osoba zemřela nebo se stala nezvěstnou, pro dlouhodobý pobyt v cizině nedosažitelnou, nebo onemocněla chorobou, která natrvalo nebo po dohlednou dobu znemožňuje její výslech, nebo</w:t>
      </w:r>
    </w:p>
    <w:p w14:paraId="6D5EA0E9" w14:textId="77777777" w:rsidR="00CB7850" w:rsidRPr="00CB7850" w:rsidRDefault="00CB7850" w:rsidP="00CB7850">
      <w:pPr>
        <w:tabs>
          <w:tab w:val="left" w:pos="426"/>
        </w:tabs>
        <w:spacing w:line="240" w:lineRule="auto"/>
        <w:rPr>
          <w:rFonts w:eastAsia="Arial" w:cs="Times New Roman"/>
          <w:szCs w:val="24"/>
          <w:lang w:eastAsia="cs-CZ"/>
        </w:rPr>
      </w:pPr>
      <w:r w:rsidRPr="00CB7850">
        <w:rPr>
          <w:rFonts w:eastAsia="Arial" w:cs="Times New Roman"/>
          <w:szCs w:val="24"/>
          <w:lang w:eastAsia="cs-CZ"/>
        </w:rPr>
        <w:t>b) šlo o neodkladný nebo neopakovatelný úkon provedený podle </w:t>
      </w:r>
      <w:hyperlink r:id="rId47" w:history="1">
        <w:r w:rsidRPr="00CB7850">
          <w:rPr>
            <w:rStyle w:val="Hypertextovodkaz"/>
            <w:rFonts w:eastAsia="Arial" w:cs="Times New Roman"/>
            <w:color w:val="auto"/>
            <w:szCs w:val="24"/>
            <w:u w:val="none"/>
            <w:lang w:eastAsia="cs-CZ"/>
          </w:rPr>
          <w:t>§ 158a</w:t>
        </w:r>
      </w:hyperlink>
      <w:r w:rsidRPr="00CB7850">
        <w:rPr>
          <w:rFonts w:eastAsia="Arial" w:cs="Times New Roman"/>
          <w:szCs w:val="24"/>
          <w:lang w:eastAsia="cs-CZ"/>
        </w:rPr>
        <w:t>.</w:t>
      </w:r>
    </w:p>
    <w:p w14:paraId="624FFFFB" w14:textId="77777777" w:rsidR="00CB7850" w:rsidRPr="00CB7850" w:rsidRDefault="00CB7850" w:rsidP="00CB7850">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(3) Protokol o dřívější výpovědi svědka se přečte také tehdy, byl-li výslech proveden způsobem odpovídajícím ustanovením tohoto zákona a svědek v hlavním líčení bez oprávnění odepřel vypovídat nebo se v podstatných bodech odchyluje od své dřívější výpovědi a</w:t>
      </w:r>
    </w:p>
    <w:p w14:paraId="321C2B68" w14:textId="77777777" w:rsidR="00CB7850" w:rsidRPr="00CB7850" w:rsidRDefault="00CB7850" w:rsidP="00CB7850">
      <w:pPr>
        <w:tabs>
          <w:tab w:val="left" w:pos="426"/>
        </w:tabs>
        <w:spacing w:line="240" w:lineRule="auto"/>
        <w:ind w:left="284" w:hanging="284"/>
        <w:rPr>
          <w:rFonts w:eastAsia="Arial" w:cs="Times New Roman"/>
          <w:szCs w:val="24"/>
          <w:lang w:eastAsia="cs-CZ"/>
        </w:rPr>
      </w:pPr>
      <w:r w:rsidRPr="00CB7850">
        <w:rPr>
          <w:rFonts w:eastAsia="Arial" w:cs="Times New Roman"/>
          <w:szCs w:val="24"/>
          <w:lang w:eastAsia="cs-CZ"/>
        </w:rPr>
        <w:t>a) obhájce nebo obviněný měl možnost se tohoto dřívějšího výslechu zúčastnit a klást vyslýchanému otázky,</w:t>
      </w:r>
    </w:p>
    <w:p w14:paraId="7DBA0BD8" w14:textId="77777777" w:rsidR="00CB7850" w:rsidRPr="00CB7850" w:rsidRDefault="00CB7850" w:rsidP="00CB7850">
      <w:pPr>
        <w:tabs>
          <w:tab w:val="left" w:pos="426"/>
        </w:tabs>
        <w:spacing w:line="240" w:lineRule="auto"/>
        <w:ind w:left="284" w:hanging="284"/>
        <w:rPr>
          <w:rFonts w:eastAsia="Arial" w:cs="Times New Roman"/>
          <w:szCs w:val="24"/>
          <w:lang w:eastAsia="cs-CZ"/>
        </w:rPr>
      </w:pPr>
      <w:r w:rsidRPr="00CB7850">
        <w:rPr>
          <w:rFonts w:eastAsia="Arial" w:cs="Times New Roman"/>
          <w:szCs w:val="24"/>
          <w:lang w:eastAsia="cs-CZ"/>
        </w:rPr>
        <w:t>b) bylo-li zjištěno, že taková osoba byla předmětem násilí, zastrašování, podplácení či příslibů jiných výhod a tak vedena k tomu, aby nevypovídala nebo vypovídala křivě, nebo</w:t>
      </w:r>
    </w:p>
    <w:p w14:paraId="65656037" w14:textId="77777777" w:rsidR="00CB7850" w:rsidRPr="00CB7850" w:rsidRDefault="00CB7850" w:rsidP="00CB7850">
      <w:pPr>
        <w:tabs>
          <w:tab w:val="left" w:pos="426"/>
        </w:tabs>
        <w:spacing w:line="240" w:lineRule="auto"/>
        <w:ind w:left="284" w:hanging="284"/>
        <w:rPr>
          <w:rFonts w:eastAsia="Arial" w:cs="Times New Roman"/>
          <w:szCs w:val="24"/>
          <w:lang w:eastAsia="cs-CZ"/>
        </w:rPr>
      </w:pPr>
      <w:r w:rsidRPr="00CB7850">
        <w:rPr>
          <w:rFonts w:eastAsia="Arial" w:cs="Times New Roman"/>
          <w:szCs w:val="24"/>
          <w:lang w:eastAsia="cs-CZ"/>
        </w:rPr>
        <w:t>c) byl-li obsah výpovědi ovlivněn průběhem výslechu v hlavním líčení, zejména v důsledku chování obžalovaného nebo přítomné veřejnosti.</w:t>
      </w:r>
    </w:p>
    <w:p w14:paraId="7D291CD5" w14:textId="77777777" w:rsidR="00CB7850" w:rsidRPr="00CB7850" w:rsidRDefault="00CB7850" w:rsidP="00CB7850">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(4) Protokol o výpovědi svědka, který v hlavním líčení využil svého práva odepřít výpověď podle </w:t>
      </w:r>
      <w:hyperlink r:id="rId48" w:history="1">
        <w:r w:rsidRPr="00CB7850">
          <w:rPr>
            <w:rStyle w:val="Hypertextovodkaz"/>
            <w:rFonts w:eastAsia="Arial" w:cs="Times New Roman"/>
            <w:color w:val="auto"/>
            <w:szCs w:val="24"/>
            <w:u w:val="none"/>
            <w:lang w:eastAsia="cs-CZ"/>
          </w:rPr>
          <w:t>§ 100</w:t>
        </w:r>
      </w:hyperlink>
      <w:r w:rsidRPr="00CB7850">
        <w:rPr>
          <w:rFonts w:eastAsia="Arial" w:cs="Times New Roman"/>
          <w:szCs w:val="24"/>
          <w:lang w:eastAsia="cs-CZ"/>
        </w:rPr>
        <w:t>, je možno číst jen za předpokladu, že svědek byl před tímto výslechem o svém právu odepřít výpověď řádně poučen a výslovně prohlásil, že tohoto práva nevyužívá, byl-li výslech proveden způsobem odpovídajícím ustanovením tohoto zákona a obviněný nebo obhájce měl možnost se tohoto výslechu zúčastnit.</w:t>
      </w:r>
    </w:p>
    <w:p w14:paraId="2D440513" w14:textId="77777777" w:rsidR="00CB7850" w:rsidRPr="00CB7850" w:rsidRDefault="00CB7850" w:rsidP="00CB7850">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(5) Místo výslechu znalce lze číst protokol o jeho výpovědi nebo jeho písemný posudek, jestliže znalec byl před podáním posudku poučen podle </w:t>
      </w:r>
      <w:hyperlink r:id="rId49" w:history="1">
        <w:r w:rsidRPr="00CB7850">
          <w:rPr>
            <w:rStyle w:val="Hypertextovodkaz"/>
            <w:rFonts w:eastAsia="Arial" w:cs="Times New Roman"/>
            <w:color w:val="auto"/>
            <w:szCs w:val="24"/>
            <w:u w:val="none"/>
            <w:lang w:eastAsia="cs-CZ"/>
          </w:rPr>
          <w:t>§ 106</w:t>
        </w:r>
      </w:hyperlink>
      <w:r w:rsidRPr="00CB7850">
        <w:rPr>
          <w:rFonts w:eastAsia="Arial" w:cs="Times New Roman"/>
          <w:szCs w:val="24"/>
          <w:lang w:eastAsia="cs-CZ"/>
        </w:rPr>
        <w:t>, nejsou pochybnosti o správnosti a úplnosti posudku a státní zástupce i obžalovaný s tím souhlasí. Ustanovení odstavce 1 věty druhé a třetí tu platí obdobně.</w:t>
      </w:r>
    </w:p>
    <w:p w14:paraId="258380BF" w14:textId="77777777" w:rsidR="00CB7850" w:rsidRPr="00CB7850" w:rsidRDefault="00CB7850" w:rsidP="00CB7850">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(6) Se souhlasem státního zástupce a obžalovaného lze v hlavním líčení číst i úřední záznamy o vysvětlení osob a o provedení dalších úkonů (</w:t>
      </w:r>
      <w:hyperlink r:id="rId50" w:history="1">
        <w:r w:rsidRPr="00CB7850">
          <w:rPr>
            <w:rStyle w:val="Hypertextovodkaz"/>
            <w:rFonts w:eastAsia="Arial" w:cs="Times New Roman"/>
            <w:color w:val="auto"/>
            <w:szCs w:val="24"/>
            <w:u w:val="none"/>
            <w:lang w:eastAsia="cs-CZ"/>
          </w:rPr>
          <w:t>§ 158 odst. 3 a 5</w:t>
        </w:r>
      </w:hyperlink>
      <w:r w:rsidRPr="00CB7850">
        <w:rPr>
          <w:rFonts w:eastAsia="Arial" w:cs="Times New Roman"/>
          <w:szCs w:val="24"/>
          <w:lang w:eastAsia="cs-CZ"/>
        </w:rPr>
        <w:t>).</w:t>
      </w:r>
    </w:p>
    <w:p w14:paraId="2C0FD8B0" w14:textId="76F8959A" w:rsidR="00995857" w:rsidRPr="003E6AE3" w:rsidRDefault="00CB7850" w:rsidP="00995857">
      <w:pPr>
        <w:tabs>
          <w:tab w:val="left" w:pos="426"/>
        </w:tabs>
        <w:spacing w:line="240" w:lineRule="auto"/>
        <w:ind w:firstLine="426"/>
        <w:rPr>
          <w:rFonts w:eastAsia="Arial" w:cs="Times New Roman"/>
          <w:szCs w:val="24"/>
          <w:lang w:eastAsia="cs-CZ"/>
        </w:rPr>
      </w:pPr>
      <w:r w:rsidRPr="00CB7850">
        <w:rPr>
          <w:rFonts w:eastAsia="Arial" w:cs="Times New Roman"/>
          <w:szCs w:val="24"/>
          <w:lang w:eastAsia="cs-CZ"/>
        </w:rPr>
        <w:t xml:space="preserve">(7) Ustanovení odstavců 1 až 5 o čtení protokolů se obdobně užijí i na přehrání </w:t>
      </w:r>
      <w:r w:rsidRPr="00A86F05">
        <w:rPr>
          <w:rFonts w:eastAsia="Arial" w:cs="Times New Roman"/>
          <w:strike/>
          <w:szCs w:val="24"/>
          <w:lang w:eastAsia="cs-CZ"/>
        </w:rPr>
        <w:t>zvukového a obrazového záznamu pořízeného o výslechu provedeném prostřednictvím</w:t>
      </w:r>
      <w:r w:rsidRPr="00CB7850">
        <w:rPr>
          <w:rFonts w:eastAsia="Arial" w:cs="Times New Roman"/>
          <w:strike/>
          <w:szCs w:val="24"/>
          <w:lang w:eastAsia="cs-CZ"/>
        </w:rPr>
        <w:t xml:space="preserve"> videokonferenčního zařízení</w:t>
      </w:r>
      <w:r w:rsidR="00A86F05">
        <w:rPr>
          <w:rFonts w:eastAsia="Arial" w:cs="Times New Roman"/>
          <w:szCs w:val="24"/>
          <w:lang w:eastAsia="cs-CZ"/>
        </w:rPr>
        <w:t xml:space="preserve"> </w:t>
      </w:r>
      <w:r w:rsidR="00A86F05">
        <w:rPr>
          <w:rFonts w:eastAsia="Arial" w:cs="Times New Roman"/>
          <w:b/>
          <w:bCs/>
          <w:szCs w:val="24"/>
          <w:lang w:eastAsia="cs-CZ"/>
        </w:rPr>
        <w:t>záznamu o výslechu</w:t>
      </w:r>
      <w:r w:rsidRPr="00CB7850">
        <w:rPr>
          <w:rFonts w:eastAsia="Arial" w:cs="Times New Roman"/>
          <w:szCs w:val="24"/>
          <w:lang w:eastAsia="cs-CZ"/>
        </w:rPr>
        <w:t>.</w:t>
      </w:r>
    </w:p>
    <w:p w14:paraId="039BB497" w14:textId="37E545E0" w:rsidR="00BA61E3" w:rsidRPr="003E6AE3" w:rsidRDefault="00BA61E3"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234</w:t>
      </w:r>
    </w:p>
    <w:p w14:paraId="70199E3F" w14:textId="77777777" w:rsidR="00BA61E3" w:rsidRPr="003E6AE3" w:rsidRDefault="00BA61E3" w:rsidP="008E1253">
      <w:pPr>
        <w:tabs>
          <w:tab w:val="left" w:pos="426"/>
        </w:tabs>
        <w:spacing w:line="240" w:lineRule="auto"/>
        <w:jc w:val="center"/>
        <w:rPr>
          <w:rFonts w:eastAsia="Arial" w:cs="Times New Roman"/>
          <w:szCs w:val="24"/>
          <w:lang w:eastAsia="cs-CZ"/>
        </w:rPr>
      </w:pPr>
      <w:r w:rsidRPr="003E6AE3">
        <w:rPr>
          <w:rFonts w:eastAsia="Arial" w:cs="Times New Roman"/>
          <w:szCs w:val="24"/>
          <w:lang w:eastAsia="cs-CZ"/>
        </w:rPr>
        <w:t>Přítomnost při veřejném zasedání</w:t>
      </w:r>
    </w:p>
    <w:p w14:paraId="21D8D4EB" w14:textId="5646044C" w:rsidR="00BA61E3" w:rsidRPr="001C2265" w:rsidRDefault="00BA61E3"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(1) Veřejné zasedání se koná za stálé přítomnosti samosoudce a v případech, kdy rozhoduje senát, za stálé přítomnosti všech členů senátu, a zapisovatele</w:t>
      </w:r>
      <w:r w:rsidR="00DA2554" w:rsidRPr="00E11FAE">
        <w:rPr>
          <w:rFonts w:eastAsia="Times New Roman" w:cs="Times New Roman"/>
          <w:b/>
          <w:bCs/>
          <w:szCs w:val="24"/>
          <w:highlight w:val="white"/>
        </w:rPr>
        <w:t>, pokud byl přibrán</w:t>
      </w:r>
      <w:r w:rsidRPr="001C2265">
        <w:rPr>
          <w:rFonts w:eastAsia="Times New Roman" w:cs="Times New Roman"/>
          <w:szCs w:val="24"/>
          <w:highlight w:val="white"/>
        </w:rPr>
        <w:t>. Přítomnost jiných osob může být zajištěna i prostřednictvím videokonferenčního zařízení; </w:t>
      </w:r>
      <w:hyperlink r:id="rId51" w:history="1">
        <w:r w:rsidRPr="001C2265">
          <w:rPr>
            <w:rFonts w:eastAsia="Times New Roman"/>
            <w:highlight w:val="white"/>
          </w:rPr>
          <w:t>§ 111a</w:t>
        </w:r>
      </w:hyperlink>
      <w:r w:rsidRPr="001C2265">
        <w:rPr>
          <w:rFonts w:eastAsia="Times New Roman" w:cs="Times New Roman"/>
          <w:szCs w:val="24"/>
          <w:highlight w:val="white"/>
        </w:rPr>
        <w:t> se užije obdobně.</w:t>
      </w:r>
    </w:p>
    <w:p w14:paraId="47862957" w14:textId="571FB32C" w:rsidR="00BA61E3" w:rsidRPr="001C2265" w:rsidRDefault="00BA61E3"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(2) Nestanoví-li zákon něco jiného, není účast státního zástupce a obhájce při veřejném zasedání nutná.</w:t>
      </w:r>
    </w:p>
    <w:p w14:paraId="7AE1504B" w14:textId="37185773" w:rsidR="001D4A40" w:rsidRPr="001D4A40" w:rsidRDefault="001D4A40" w:rsidP="008E1253">
      <w:pPr>
        <w:keepNext/>
        <w:spacing w:line="240" w:lineRule="auto"/>
        <w:jc w:val="center"/>
        <w:outlineLvl w:val="1"/>
        <w:rPr>
          <w:rFonts w:eastAsia="Arial" w:cs="Times New Roman"/>
          <w:szCs w:val="24"/>
          <w:lang w:eastAsia="cs-CZ"/>
        </w:rPr>
      </w:pPr>
      <w:r w:rsidRPr="001D4A40">
        <w:rPr>
          <w:rFonts w:eastAsia="Arial" w:cs="Times New Roman"/>
          <w:szCs w:val="24"/>
          <w:lang w:eastAsia="cs-CZ"/>
        </w:rPr>
        <w:t>§ 235</w:t>
      </w:r>
    </w:p>
    <w:p w14:paraId="30C313AF" w14:textId="0B7CE93E" w:rsidR="001D4A40" w:rsidRPr="001D4A40" w:rsidRDefault="001D4A40" w:rsidP="001D4A40">
      <w:pPr>
        <w:keepNext/>
        <w:tabs>
          <w:tab w:val="left" w:pos="426"/>
        </w:tabs>
        <w:spacing w:line="240" w:lineRule="auto"/>
        <w:outlineLvl w:val="1"/>
        <w:rPr>
          <w:rFonts w:eastAsia="Arial" w:cs="Times New Roman"/>
          <w:szCs w:val="24"/>
          <w:lang w:eastAsia="cs-CZ"/>
        </w:rPr>
      </w:pPr>
      <w:r>
        <w:rPr>
          <w:rFonts w:eastAsia="Arial" w:cs="Times New Roman"/>
          <w:szCs w:val="24"/>
          <w:lang w:eastAsia="cs-CZ"/>
        </w:rPr>
        <w:tab/>
      </w:r>
      <w:r w:rsidRPr="001D4A40">
        <w:rPr>
          <w:rFonts w:eastAsia="Arial" w:cs="Times New Roman"/>
          <w:szCs w:val="24"/>
          <w:lang w:eastAsia="cs-CZ"/>
        </w:rPr>
        <w:t>(1) Po zahájení veřejného zasedání podá předseda nebo jím určený člen senátu na podkladě spisu zprávu o stavu věci zaměřenou na otázky, které je třeba ve veřejném zasedání řešit. Poté osoba, která dala svým návrhem k veřejnému zasedání podnět, návrh přednese. Osoba, která může být přímo dotčena rozhodnutím, jakož i státní zástupce se k návrhu vyjádří, nejsou-li sami navrhovateli.</w:t>
      </w:r>
    </w:p>
    <w:p w14:paraId="46D6EFA0" w14:textId="65AE7DA8" w:rsidR="001D4A40" w:rsidRPr="001D4A40" w:rsidRDefault="001D4A40" w:rsidP="001D4A40">
      <w:pPr>
        <w:keepNext/>
        <w:spacing w:line="240" w:lineRule="auto"/>
        <w:ind w:firstLine="426"/>
        <w:outlineLvl w:val="1"/>
        <w:rPr>
          <w:rFonts w:eastAsia="Arial" w:cs="Times New Roman"/>
          <w:szCs w:val="24"/>
          <w:lang w:eastAsia="cs-CZ"/>
        </w:rPr>
      </w:pPr>
      <w:r w:rsidRPr="001D4A40">
        <w:rPr>
          <w:rFonts w:eastAsia="Arial" w:cs="Times New Roman"/>
          <w:szCs w:val="24"/>
          <w:lang w:eastAsia="cs-CZ"/>
        </w:rPr>
        <w:t xml:space="preserve">(2) Jsou-li při veřejném zasedání prováděny důkazy, užije se přiměřeně ustanovení </w:t>
      </w:r>
      <w:r w:rsidR="00FD189F">
        <w:rPr>
          <w:rFonts w:eastAsia="Arial" w:cs="Times New Roman"/>
          <w:szCs w:val="24"/>
          <w:lang w:eastAsia="cs-CZ"/>
        </w:rPr>
        <w:br/>
      </w:r>
      <w:r w:rsidRPr="001D4A40">
        <w:rPr>
          <w:rFonts w:eastAsia="Arial" w:cs="Times New Roman"/>
          <w:szCs w:val="24"/>
          <w:lang w:eastAsia="cs-CZ"/>
        </w:rPr>
        <w:t xml:space="preserve">o dokazování u hlavního líčení. Omezení v provádění důkazů čtením protokolu o výpovědi svědka nebo znalce nebo přehráním </w:t>
      </w:r>
      <w:r w:rsidRPr="00FD378B">
        <w:rPr>
          <w:rFonts w:eastAsia="Arial" w:cs="Times New Roman"/>
          <w:strike/>
          <w:szCs w:val="24"/>
          <w:lang w:eastAsia="cs-CZ"/>
        </w:rPr>
        <w:t>obrazového a zvukového záznamu pořízeného o jejich výslechu provedeném prostřednictvím videokonferenčního</w:t>
      </w:r>
      <w:r w:rsidRPr="001D4A40">
        <w:rPr>
          <w:rFonts w:eastAsia="Arial" w:cs="Times New Roman"/>
          <w:strike/>
          <w:szCs w:val="24"/>
          <w:lang w:eastAsia="cs-CZ"/>
        </w:rPr>
        <w:t xml:space="preserve"> zařízení</w:t>
      </w:r>
      <w:r w:rsidRPr="001D4A40">
        <w:rPr>
          <w:rFonts w:eastAsia="Arial" w:cs="Times New Roman"/>
          <w:szCs w:val="24"/>
          <w:lang w:eastAsia="cs-CZ"/>
        </w:rPr>
        <w:t xml:space="preserve"> </w:t>
      </w:r>
      <w:r w:rsidR="00FD378B">
        <w:rPr>
          <w:rFonts w:eastAsia="Arial" w:cs="Times New Roman"/>
          <w:b/>
          <w:bCs/>
          <w:szCs w:val="24"/>
          <w:lang w:eastAsia="cs-CZ"/>
        </w:rPr>
        <w:t xml:space="preserve">záznamu pořízeného </w:t>
      </w:r>
      <w:r w:rsidR="00FD189F">
        <w:rPr>
          <w:rFonts w:eastAsia="Arial" w:cs="Times New Roman"/>
          <w:b/>
          <w:bCs/>
          <w:szCs w:val="24"/>
          <w:lang w:eastAsia="cs-CZ"/>
        </w:rPr>
        <w:br/>
      </w:r>
      <w:r w:rsidR="00FD378B">
        <w:rPr>
          <w:rFonts w:eastAsia="Arial" w:cs="Times New Roman"/>
          <w:b/>
          <w:bCs/>
          <w:szCs w:val="24"/>
          <w:lang w:eastAsia="cs-CZ"/>
        </w:rPr>
        <w:t>o jejich výslechu</w:t>
      </w:r>
      <w:r w:rsidR="00FD189F">
        <w:rPr>
          <w:rFonts w:eastAsia="Arial" w:cs="Times New Roman"/>
          <w:b/>
          <w:bCs/>
          <w:szCs w:val="24"/>
          <w:lang w:eastAsia="cs-CZ"/>
        </w:rPr>
        <w:t xml:space="preserve"> </w:t>
      </w:r>
      <w:r w:rsidRPr="001D4A40">
        <w:rPr>
          <w:rFonts w:eastAsia="Arial" w:cs="Times New Roman"/>
          <w:szCs w:val="24"/>
          <w:lang w:eastAsia="cs-CZ"/>
        </w:rPr>
        <w:t>(</w:t>
      </w:r>
      <w:hyperlink r:id="rId52" w:history="1">
        <w:r w:rsidRPr="001D4A40">
          <w:rPr>
            <w:rStyle w:val="Hypertextovodkaz"/>
            <w:rFonts w:eastAsia="Arial" w:cs="Times New Roman"/>
            <w:color w:val="auto"/>
            <w:szCs w:val="24"/>
            <w:u w:val="none"/>
            <w:lang w:eastAsia="cs-CZ"/>
          </w:rPr>
          <w:t>§ 211 odst. 1, 5 a 7</w:t>
        </w:r>
      </w:hyperlink>
      <w:r w:rsidRPr="001D4A40">
        <w:rPr>
          <w:rFonts w:eastAsia="Arial" w:cs="Times New Roman"/>
          <w:szCs w:val="24"/>
          <w:lang w:eastAsia="cs-CZ"/>
        </w:rPr>
        <w:t>) platí pouze pro veřejné zasedání konané o odvolání.</w:t>
      </w:r>
    </w:p>
    <w:p w14:paraId="406D66BF" w14:textId="400B7DEF" w:rsidR="0031430A" w:rsidRDefault="001D4A40" w:rsidP="0031430A">
      <w:pPr>
        <w:keepNext/>
        <w:spacing w:line="240" w:lineRule="auto"/>
        <w:ind w:firstLine="426"/>
        <w:outlineLvl w:val="1"/>
        <w:rPr>
          <w:rFonts w:eastAsia="Arial" w:cs="Times New Roman"/>
          <w:szCs w:val="24"/>
          <w:lang w:eastAsia="cs-CZ"/>
        </w:rPr>
      </w:pPr>
      <w:r w:rsidRPr="001D4A40">
        <w:rPr>
          <w:rFonts w:eastAsia="Arial" w:cs="Times New Roman"/>
          <w:szCs w:val="24"/>
          <w:lang w:eastAsia="cs-CZ"/>
        </w:rPr>
        <w:t>(3) Po provedení důkazů udělí předseda senátu slovo ke konečným návrhům. Je-li osobou, která může být přímo dotčena rozhodnutím, obviněný, má právo mluvit poslední.</w:t>
      </w:r>
    </w:p>
    <w:p w14:paraId="3DE240F9" w14:textId="77777777" w:rsidR="0031430A" w:rsidRPr="0031430A" w:rsidRDefault="0031430A" w:rsidP="0031430A">
      <w:pPr>
        <w:keepNext/>
        <w:spacing w:line="240" w:lineRule="auto"/>
        <w:ind w:firstLine="426"/>
        <w:outlineLvl w:val="1"/>
        <w:rPr>
          <w:rFonts w:eastAsia="Arial" w:cs="Times New Roman"/>
          <w:szCs w:val="24"/>
          <w:lang w:eastAsia="cs-CZ"/>
        </w:rPr>
      </w:pPr>
    </w:p>
    <w:p w14:paraId="4C47EE9F" w14:textId="7C541317" w:rsidR="00A42D1C" w:rsidRPr="001C2265" w:rsidRDefault="00A42D1C" w:rsidP="008E1253">
      <w:pPr>
        <w:keepNext/>
        <w:spacing w:line="240" w:lineRule="auto"/>
        <w:jc w:val="center"/>
        <w:outlineLvl w:val="1"/>
        <w:rPr>
          <w:rFonts w:eastAsia="Arial" w:cs="Times New Roman"/>
          <w:strike/>
          <w:szCs w:val="24"/>
          <w:lang w:eastAsia="cs-CZ"/>
        </w:rPr>
      </w:pPr>
      <w:r w:rsidRPr="001C2265">
        <w:rPr>
          <w:rFonts w:eastAsia="Arial" w:cs="Times New Roman"/>
          <w:strike/>
          <w:szCs w:val="24"/>
          <w:lang w:eastAsia="cs-CZ"/>
        </w:rPr>
        <w:t>§ 252</w:t>
      </w:r>
    </w:p>
    <w:p w14:paraId="7E9A2399" w14:textId="77777777" w:rsidR="00A42D1C" w:rsidRPr="003E6AE3" w:rsidRDefault="00A42D1C" w:rsidP="008E1253">
      <w:pPr>
        <w:tabs>
          <w:tab w:val="left" w:pos="426"/>
        </w:tabs>
        <w:spacing w:line="240" w:lineRule="auto"/>
        <w:jc w:val="center"/>
        <w:rPr>
          <w:rFonts w:eastAsia="Arial" w:cs="Times New Roman"/>
          <w:strike/>
          <w:szCs w:val="24"/>
          <w:lang w:eastAsia="cs-CZ"/>
        </w:rPr>
      </w:pPr>
      <w:r w:rsidRPr="003E6AE3">
        <w:rPr>
          <w:rFonts w:eastAsia="Arial" w:cs="Times New Roman"/>
          <w:strike/>
          <w:szCs w:val="24"/>
          <w:lang w:eastAsia="cs-CZ"/>
        </w:rPr>
        <w:t>Odvolací soud</w:t>
      </w:r>
    </w:p>
    <w:p w14:paraId="76E11FFC" w14:textId="2BE35697" w:rsidR="00995857" w:rsidRPr="0031430A" w:rsidRDefault="00A42D1C" w:rsidP="0031430A">
      <w:pPr>
        <w:tabs>
          <w:tab w:val="left" w:pos="426"/>
        </w:tabs>
        <w:spacing w:line="240" w:lineRule="auto"/>
        <w:ind w:firstLine="426"/>
        <w:rPr>
          <w:rFonts w:eastAsia="Arial" w:cs="Times New Roman"/>
          <w:strike/>
          <w:szCs w:val="24"/>
          <w:lang w:eastAsia="cs-CZ"/>
        </w:rPr>
      </w:pPr>
      <w:r w:rsidRPr="003E6AE3">
        <w:rPr>
          <w:rFonts w:eastAsia="Arial" w:cs="Times New Roman"/>
          <w:strike/>
          <w:szCs w:val="24"/>
          <w:lang w:eastAsia="cs-CZ"/>
        </w:rPr>
        <w:t>O odvolání proti rozsudku okresního soudu rozhoduje nadřízený krajský soud a o odvolání proti rozsudku vojenského obvodového soudu rozhoduje nadřízený vyšší vojenský soud. O</w:t>
      </w:r>
      <w:r w:rsidR="001C2265">
        <w:rPr>
          <w:rFonts w:eastAsia="Arial" w:cs="Times New Roman"/>
          <w:strike/>
          <w:szCs w:val="24"/>
          <w:lang w:eastAsia="cs-CZ"/>
        </w:rPr>
        <w:t> </w:t>
      </w:r>
      <w:r w:rsidRPr="003E6AE3">
        <w:rPr>
          <w:rFonts w:eastAsia="Arial" w:cs="Times New Roman"/>
          <w:strike/>
          <w:szCs w:val="24"/>
          <w:lang w:eastAsia="cs-CZ"/>
        </w:rPr>
        <w:t>odvolání proti rozsudku krajského nebo vyššího vojenského soudu jako soudu prvního stupně rozhoduje nadřízený vrchní soud.</w:t>
      </w:r>
    </w:p>
    <w:p w14:paraId="43151808" w14:textId="69658661" w:rsidR="00AC1A19" w:rsidRPr="001C2265" w:rsidRDefault="00AC1A19" w:rsidP="008E1253">
      <w:pPr>
        <w:keepNext/>
        <w:spacing w:line="240" w:lineRule="auto"/>
        <w:jc w:val="center"/>
        <w:outlineLvl w:val="1"/>
        <w:rPr>
          <w:rFonts w:eastAsia="Arial" w:cs="Times New Roman"/>
          <w:b/>
          <w:bCs/>
          <w:szCs w:val="24"/>
          <w:lang w:eastAsia="cs-CZ"/>
        </w:rPr>
      </w:pPr>
      <w:r w:rsidRPr="001C2265">
        <w:rPr>
          <w:rFonts w:eastAsia="Arial" w:cs="Times New Roman"/>
          <w:b/>
          <w:bCs/>
          <w:szCs w:val="24"/>
          <w:lang w:eastAsia="cs-CZ"/>
        </w:rPr>
        <w:t>§ 252</w:t>
      </w:r>
    </w:p>
    <w:p w14:paraId="1B47CF76" w14:textId="77777777" w:rsidR="00AC1A19" w:rsidRPr="003E6AE3" w:rsidRDefault="00AC1A19" w:rsidP="008E1253">
      <w:pPr>
        <w:tabs>
          <w:tab w:val="left" w:pos="426"/>
        </w:tabs>
        <w:spacing w:line="240" w:lineRule="auto"/>
        <w:jc w:val="center"/>
        <w:rPr>
          <w:rFonts w:eastAsia="Arial" w:cs="Times New Roman"/>
          <w:b/>
          <w:bCs/>
          <w:szCs w:val="24"/>
          <w:lang w:eastAsia="cs-CZ"/>
        </w:rPr>
      </w:pPr>
      <w:r w:rsidRPr="003E6AE3">
        <w:rPr>
          <w:rFonts w:eastAsia="Arial" w:cs="Times New Roman"/>
          <w:b/>
          <w:bCs/>
          <w:szCs w:val="24"/>
          <w:lang w:eastAsia="cs-CZ"/>
        </w:rPr>
        <w:t>Odvolací soud</w:t>
      </w:r>
    </w:p>
    <w:p w14:paraId="5C3F8E48" w14:textId="22BF7E37" w:rsidR="00AC1A19" w:rsidRPr="003E6AE3" w:rsidRDefault="00AC1A19" w:rsidP="008E1253">
      <w:pPr>
        <w:tabs>
          <w:tab w:val="left" w:pos="426"/>
        </w:tabs>
        <w:spacing w:line="240" w:lineRule="auto"/>
        <w:ind w:firstLine="426"/>
        <w:rPr>
          <w:rFonts w:eastAsia="Arial" w:cs="Times New Roman"/>
          <w:b/>
          <w:bCs/>
          <w:szCs w:val="24"/>
          <w:lang w:eastAsia="cs-CZ"/>
        </w:rPr>
      </w:pPr>
      <w:r w:rsidRPr="003E6AE3">
        <w:rPr>
          <w:rFonts w:eastAsia="Arial" w:cs="Times New Roman"/>
          <w:b/>
          <w:bCs/>
          <w:szCs w:val="24"/>
          <w:lang w:eastAsia="cs-CZ"/>
        </w:rPr>
        <w:t>O odvolání proti rozsudku okresního soudu rozhoduje nadřízený krajský soud a o odvolání proti rozsudku krajského soudu jako soudu prvního stupně rozhoduje nadřízený vrchní soud.</w:t>
      </w:r>
    </w:p>
    <w:p w14:paraId="075C029B" w14:textId="50450DFA" w:rsidR="00F96CFF" w:rsidRPr="001C2265" w:rsidRDefault="00F96CFF" w:rsidP="008E1253">
      <w:pPr>
        <w:keepNext/>
        <w:spacing w:line="240" w:lineRule="auto"/>
        <w:jc w:val="center"/>
        <w:outlineLvl w:val="1"/>
        <w:rPr>
          <w:rFonts w:eastAsia="Arial" w:cs="Times New Roman"/>
          <w:szCs w:val="24"/>
          <w:lang w:eastAsia="cs-CZ"/>
        </w:rPr>
      </w:pPr>
      <w:r w:rsidRPr="001C2265">
        <w:rPr>
          <w:rFonts w:eastAsia="Arial" w:cs="Times New Roman"/>
          <w:szCs w:val="24"/>
          <w:lang w:eastAsia="cs-CZ"/>
        </w:rPr>
        <w:t>§ 259</w:t>
      </w:r>
    </w:p>
    <w:p w14:paraId="289A68BC" w14:textId="46A19877" w:rsidR="00F96CFF" w:rsidRPr="001C2265" w:rsidRDefault="00F96CFF"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(1) Je-li po zrušení napadeného rozsudku nebo některé jeho části nutno učinit ve věci rozhodnutí nové, může odvolací soud věc vrátit soudu prvního stupně, jen jestliže nelze vadu odstranit ve veřejném zasedání, zejména jsou-li skutková zjištění tak nedostatečná, že je nutno hlavní líčení opakovat nebo provádět rozsáhlé a obtížně proveditelné doplnění dokazování.</w:t>
      </w:r>
    </w:p>
    <w:p w14:paraId="46B0BF27" w14:textId="4062E6FF" w:rsidR="00F96CFF" w:rsidRPr="001C2265" w:rsidRDefault="00F96CFF"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(2) Záleží-li vada jen v tom, že v napadeném rozsudku některý výrok chybí nebo je neúplný, může odvolací soud, aniž rozsudek zruší, věc soudu prvního stupně vrátit s příkazem, aby o chybějícím výroku rozhodl nebo neúplný výrok doplnil.</w:t>
      </w:r>
    </w:p>
    <w:p w14:paraId="05A21742" w14:textId="2D448F57" w:rsidR="00F96CFF" w:rsidRPr="001C2265" w:rsidRDefault="00F96CFF"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(3) Rozhodnout sám rozsudkem ve věci může odvolací soud, jen je-li možno nové rozhodnutí učinit na podkladě skutkového stavu, který byl v napadeném rozsudku správně zjištěn a popřípadě na základě důkazů provedených před odvolacím soudem doplněn nebo změněn. Odvolací soud se může odchýlit od skutkového zjištění soudu prvního stupně jen tehdy, jestliže v odvolacím řízení</w:t>
      </w:r>
    </w:p>
    <w:p w14:paraId="3662FB85" w14:textId="77777777" w:rsidR="00F96CFF" w:rsidRPr="003E6AE3" w:rsidRDefault="00F96CFF"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a) provedl znovu některé pro skutkové zjištění podstatné důkazy provedené již v hlavním líčení, nebo</w:t>
      </w:r>
    </w:p>
    <w:p w14:paraId="0E57EE2B" w14:textId="77777777" w:rsidR="00F96CFF" w:rsidRPr="003E6AE3" w:rsidRDefault="00F96CFF" w:rsidP="008E1253">
      <w:pPr>
        <w:tabs>
          <w:tab w:val="left" w:pos="426"/>
        </w:tabs>
        <w:spacing w:line="240" w:lineRule="auto"/>
        <w:rPr>
          <w:rFonts w:eastAsia="Arial" w:cs="Times New Roman"/>
          <w:szCs w:val="24"/>
          <w:lang w:eastAsia="cs-CZ"/>
        </w:rPr>
      </w:pPr>
      <w:r w:rsidRPr="003E6AE3">
        <w:rPr>
          <w:rFonts w:eastAsia="Arial" w:cs="Times New Roman"/>
          <w:szCs w:val="24"/>
          <w:lang w:eastAsia="cs-CZ"/>
        </w:rPr>
        <w:t>b) provedl důkazy, které nebyly provedeny v hlavním líčení.</w:t>
      </w:r>
    </w:p>
    <w:p w14:paraId="5E589AB8" w14:textId="287A0C87" w:rsidR="00F96CFF" w:rsidRPr="001C2265" w:rsidRDefault="00F96CFF"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(4) V neprospěch obžalovaného může odvolací soud změnit napadený rozsudek jen na</w:t>
      </w:r>
      <w:r w:rsidR="001C2265">
        <w:rPr>
          <w:rFonts w:eastAsia="Times New Roman" w:cs="Times New Roman"/>
          <w:szCs w:val="24"/>
          <w:highlight w:val="white"/>
        </w:rPr>
        <w:t> </w:t>
      </w:r>
      <w:r w:rsidRPr="001C2265">
        <w:rPr>
          <w:rFonts w:eastAsia="Times New Roman" w:cs="Times New Roman"/>
          <w:szCs w:val="24"/>
          <w:highlight w:val="white"/>
        </w:rPr>
        <w:t>podkladě odvolání státního zástupce, jež bylo podáno v neprospěch obžalovaného; ve</w:t>
      </w:r>
      <w:r w:rsidR="001C2265">
        <w:rPr>
          <w:rFonts w:eastAsia="Times New Roman" w:cs="Times New Roman"/>
          <w:szCs w:val="24"/>
          <w:highlight w:val="white"/>
        </w:rPr>
        <w:t> </w:t>
      </w:r>
      <w:r w:rsidRPr="001C2265">
        <w:rPr>
          <w:rFonts w:eastAsia="Times New Roman" w:cs="Times New Roman"/>
          <w:szCs w:val="24"/>
          <w:highlight w:val="white"/>
        </w:rPr>
        <w:t>výroku o náhradě škody nebo nemajetkové újmy v penězích nebo o vydání bezdůvodného obohacení tak může učinit též na podkladě odvolání poškozeného, který uplatnil nárok na</w:t>
      </w:r>
      <w:r w:rsidR="001C2265">
        <w:rPr>
          <w:rFonts w:eastAsia="Times New Roman" w:cs="Times New Roman"/>
          <w:szCs w:val="24"/>
          <w:highlight w:val="white"/>
        </w:rPr>
        <w:t> </w:t>
      </w:r>
      <w:r w:rsidRPr="001C2265">
        <w:rPr>
          <w:rFonts w:eastAsia="Times New Roman" w:cs="Times New Roman"/>
          <w:szCs w:val="24"/>
          <w:highlight w:val="white"/>
        </w:rPr>
        <w:t>náhradu škody nebo nemajetkové újmy nebo na vydání bezdůvodného obohacení.</w:t>
      </w:r>
    </w:p>
    <w:p w14:paraId="08348067" w14:textId="173233AD" w:rsidR="00F96CFF" w:rsidRPr="001C2265" w:rsidRDefault="00F96CFF" w:rsidP="008E1253">
      <w:pPr>
        <w:spacing w:line="240" w:lineRule="auto"/>
        <w:ind w:firstLine="425"/>
        <w:rPr>
          <w:rFonts w:eastAsia="Times New Roman" w:cs="Times New Roman"/>
          <w:szCs w:val="24"/>
          <w:highlight w:val="white"/>
        </w:rPr>
      </w:pPr>
      <w:r w:rsidRPr="001C2265">
        <w:rPr>
          <w:rFonts w:eastAsia="Times New Roman" w:cs="Times New Roman"/>
          <w:szCs w:val="24"/>
          <w:highlight w:val="white"/>
        </w:rPr>
        <w:t>(5) Odvolací soud nemůže sám</w:t>
      </w:r>
    </w:p>
    <w:p w14:paraId="612EB70C" w14:textId="77777777" w:rsidR="00F96CFF" w:rsidRPr="003E6AE3" w:rsidRDefault="00F96CFF" w:rsidP="008E1253">
      <w:pPr>
        <w:tabs>
          <w:tab w:val="left" w:pos="426"/>
        </w:tabs>
        <w:spacing w:line="240" w:lineRule="auto"/>
        <w:rPr>
          <w:rFonts w:eastAsia="Arial" w:cs="Times New Roman"/>
          <w:szCs w:val="24"/>
          <w:lang w:eastAsia="cs-CZ"/>
        </w:rPr>
      </w:pPr>
      <w:r w:rsidRPr="003E6AE3">
        <w:rPr>
          <w:rFonts w:eastAsia="Arial" w:cs="Times New Roman"/>
          <w:szCs w:val="24"/>
          <w:lang w:eastAsia="cs-CZ"/>
        </w:rPr>
        <w:t>a) uznat obžalovaného vinným skutkem, pro nějž byl napadeným rozsudkem zproštěn,</w:t>
      </w:r>
    </w:p>
    <w:p w14:paraId="2AC0EBAD" w14:textId="1F73BA1E" w:rsidR="00F96CFF" w:rsidRPr="003E6AE3" w:rsidRDefault="00F96CFF"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b) uznat obžalovaného vinným těžším trestným činem, než jakým ho mohl v napadeném rozsudku uznat vinným soud prvního stupně (</w:t>
      </w:r>
      <w:hyperlink r:id="rId53" w:history="1">
        <w:r w:rsidRPr="003E6AE3">
          <w:rPr>
            <w:rStyle w:val="Hypertextovodkaz"/>
            <w:rFonts w:eastAsia="Arial" w:cs="Times New Roman"/>
            <w:color w:val="auto"/>
            <w:szCs w:val="24"/>
            <w:u w:val="none"/>
            <w:lang w:eastAsia="cs-CZ"/>
          </w:rPr>
          <w:t>§ 225 odst. 2</w:t>
        </w:r>
      </w:hyperlink>
      <w:r w:rsidRPr="003E6AE3">
        <w:rPr>
          <w:rFonts w:eastAsia="Arial" w:cs="Times New Roman"/>
          <w:szCs w:val="24"/>
          <w:lang w:eastAsia="cs-CZ"/>
        </w:rPr>
        <w:t>).</w:t>
      </w:r>
    </w:p>
    <w:p w14:paraId="0AE45FF3" w14:textId="42A8BF19" w:rsidR="008105C5" w:rsidRPr="003E6AE3" w:rsidRDefault="008105C5" w:rsidP="008105C5">
      <w:pPr>
        <w:shd w:val="clear" w:color="auto" w:fill="FFFFFF"/>
        <w:spacing w:line="240" w:lineRule="auto"/>
        <w:ind w:firstLine="426"/>
        <w:rPr>
          <w:rFonts w:cs="Times New Roman"/>
          <w:b/>
          <w:bCs/>
          <w:szCs w:val="24"/>
        </w:rPr>
      </w:pPr>
      <w:r w:rsidRPr="003E6AE3">
        <w:rPr>
          <w:rFonts w:cs="Times New Roman"/>
          <w:b/>
          <w:bCs/>
          <w:szCs w:val="24"/>
        </w:rPr>
        <w:t>(6) Rozhodne-li odvolací soud, že se věc vrací soudu prvního stupně k novému projednání a rozhodnutí poté, co napadený rozsudek zrušil, nemůže jej zavázat k tomu, jak má v novém rozhodnutí hodnotit důkazy a jaká má učinit skutková zjiště</w:t>
      </w:r>
      <w:r w:rsidR="008E2E2A">
        <w:rPr>
          <w:rFonts w:cs="Times New Roman"/>
          <w:b/>
          <w:bCs/>
          <w:szCs w:val="24"/>
        </w:rPr>
        <w:t>ní</w:t>
      </w:r>
      <w:r w:rsidRPr="003E6AE3">
        <w:rPr>
          <w:rFonts w:cs="Times New Roman"/>
          <w:b/>
          <w:bCs/>
          <w:szCs w:val="24"/>
        </w:rPr>
        <w:t>.</w:t>
      </w:r>
    </w:p>
    <w:p w14:paraId="085E374A" w14:textId="3B4337F7" w:rsidR="00E864D4" w:rsidRPr="001C2265" w:rsidRDefault="00E864D4" w:rsidP="008E1253">
      <w:pPr>
        <w:keepNext/>
        <w:spacing w:line="240" w:lineRule="auto"/>
        <w:jc w:val="center"/>
        <w:outlineLvl w:val="1"/>
        <w:rPr>
          <w:rFonts w:eastAsia="Arial" w:cs="Times New Roman"/>
          <w:strike/>
          <w:szCs w:val="24"/>
          <w:lang w:eastAsia="cs-CZ"/>
        </w:rPr>
      </w:pPr>
      <w:r w:rsidRPr="001C2265">
        <w:rPr>
          <w:rFonts w:eastAsia="Arial" w:cs="Times New Roman"/>
          <w:strike/>
          <w:szCs w:val="24"/>
          <w:lang w:eastAsia="cs-CZ"/>
        </w:rPr>
        <w:t>§ 262 </w:t>
      </w:r>
    </w:p>
    <w:p w14:paraId="217BB553" w14:textId="320CE09A" w:rsidR="00E864D4" w:rsidRPr="003E6AE3" w:rsidRDefault="00E864D4" w:rsidP="008E1253">
      <w:pPr>
        <w:tabs>
          <w:tab w:val="left" w:pos="426"/>
        </w:tabs>
        <w:spacing w:line="240" w:lineRule="auto"/>
        <w:ind w:firstLine="426"/>
        <w:rPr>
          <w:rFonts w:eastAsia="Arial" w:cs="Times New Roman"/>
          <w:strike/>
          <w:szCs w:val="24"/>
          <w:lang w:eastAsia="cs-CZ"/>
        </w:rPr>
      </w:pPr>
      <w:r w:rsidRPr="003E6AE3">
        <w:rPr>
          <w:rFonts w:eastAsia="Arial" w:cs="Times New Roman"/>
          <w:strike/>
          <w:szCs w:val="24"/>
          <w:lang w:eastAsia="cs-CZ"/>
        </w:rPr>
        <w:t>Rozhodne-li odvolací soud, že se věc vrací k novému projednání a rozhodnutí soudu prvního stupně, může zároveň nařídit, aby byla projednána a rozhodnuta v jiném složení senátu nebo jiným samosoudcem. Z důležitého důvodu může také nařídit, aby ji projednal a rozhodl jiný soud téhož druhu a téhož stupně v jeho obvodě.</w:t>
      </w:r>
    </w:p>
    <w:p w14:paraId="04157880" w14:textId="1E73669E" w:rsidR="0083493B" w:rsidRPr="001C2265" w:rsidRDefault="0083493B" w:rsidP="008E1253">
      <w:pPr>
        <w:keepNext/>
        <w:spacing w:line="240" w:lineRule="auto"/>
        <w:jc w:val="center"/>
        <w:outlineLvl w:val="1"/>
        <w:rPr>
          <w:rFonts w:eastAsia="Arial" w:cs="Times New Roman"/>
          <w:b/>
          <w:bCs/>
          <w:szCs w:val="24"/>
          <w:lang w:eastAsia="cs-CZ"/>
        </w:rPr>
      </w:pPr>
      <w:r w:rsidRPr="001C2265">
        <w:rPr>
          <w:rFonts w:eastAsia="Arial" w:cs="Times New Roman"/>
          <w:b/>
          <w:bCs/>
          <w:szCs w:val="24"/>
          <w:lang w:eastAsia="cs-CZ"/>
        </w:rPr>
        <w:t>§ 262</w:t>
      </w:r>
    </w:p>
    <w:p w14:paraId="271AECDA" w14:textId="108935E2" w:rsidR="006C77F9" w:rsidRPr="00723E28" w:rsidRDefault="00464511" w:rsidP="00464511">
      <w:pPr>
        <w:tabs>
          <w:tab w:val="left" w:pos="426"/>
        </w:tabs>
        <w:spacing w:line="240" w:lineRule="auto"/>
        <w:ind w:firstLine="426"/>
        <w:rPr>
          <w:b/>
          <w:bCs/>
        </w:rPr>
      </w:pPr>
      <w:r w:rsidRPr="00464511">
        <w:rPr>
          <w:b/>
          <w:bCs/>
        </w:rPr>
        <w:t xml:space="preserve">(1) Rozhodne-li odvolací soud, že se věc vrací k novému projednání a rozhodnutí soudu prvního stupně, může zároveň nařídit, aby věc byla projednána a rozhodnuta jiným samosoudcem nebo v jiném složení senátu, pokud je dán důvod pro vyloučení samosoudce nebo člena senátu, nebo pokud samosoudce nebo senát opakovaně nerespektoval závazný </w:t>
      </w:r>
      <w:r w:rsidR="00DE294A">
        <w:rPr>
          <w:b/>
          <w:bCs/>
        </w:rPr>
        <w:t xml:space="preserve">právní </w:t>
      </w:r>
      <w:r w:rsidRPr="00464511">
        <w:rPr>
          <w:b/>
          <w:bCs/>
        </w:rPr>
        <w:t>názor odvolacího soudu, neprovedl úkony a doplnění, jejichž provedení mu odvolací soud nařídil, nebo se dostatečně nevypořádal s pochybnostmi odvolacího soudu o správnosti skutkových zjištění. Odůvodňuje-li to povaha důvodu uvedeného ve větě první, může také nařídit, aby věc projednal a rozhodl jiný soud téhož druhu a téhož stupně v jeho obvodu.</w:t>
      </w:r>
      <w:r>
        <w:rPr>
          <w:b/>
          <w:bCs/>
        </w:rPr>
        <w:t xml:space="preserve"> </w:t>
      </w:r>
      <w:r w:rsidR="0001575C" w:rsidRPr="0001575C">
        <w:rPr>
          <w:b/>
          <w:bCs/>
        </w:rPr>
        <w:t xml:space="preserve">Ustanovení § 259 odst. 6 se použije obdobně. </w:t>
      </w:r>
    </w:p>
    <w:p w14:paraId="0E501BB5" w14:textId="6626A9A2" w:rsidR="002C0360" w:rsidRPr="00723E28" w:rsidRDefault="006C77F9" w:rsidP="006C77F9">
      <w:pPr>
        <w:tabs>
          <w:tab w:val="left" w:pos="426"/>
        </w:tabs>
        <w:spacing w:line="240" w:lineRule="auto"/>
        <w:ind w:firstLine="426"/>
        <w:rPr>
          <w:b/>
          <w:bCs/>
        </w:rPr>
      </w:pPr>
      <w:r w:rsidRPr="00723E28">
        <w:rPr>
          <w:b/>
          <w:bCs/>
        </w:rPr>
        <w:t>(2) Pokud má odvolací soud za to, že se soud prvního stupně</w:t>
      </w:r>
      <w:r w:rsidR="00096ACD">
        <w:rPr>
          <w:b/>
          <w:bCs/>
        </w:rPr>
        <w:t xml:space="preserve"> </w:t>
      </w:r>
      <w:r w:rsidRPr="00723E28">
        <w:rPr>
          <w:b/>
          <w:bCs/>
        </w:rPr>
        <w:t>nevypořádal s pochybnostmi o správnosti skutkových zjištění, může postupovat podle odstavce 1, jen pokud provede ve veřejném zasedání důkazy, u nichž má pochybnosti o správnosti jejich hodnocení ve smyslu § 2 odst. 6.</w:t>
      </w:r>
    </w:p>
    <w:p w14:paraId="44820339" w14:textId="7675D4B5" w:rsidR="00647CFB" w:rsidRPr="001C2265" w:rsidRDefault="00647CFB" w:rsidP="008E1253">
      <w:pPr>
        <w:keepNext/>
        <w:spacing w:line="240" w:lineRule="auto"/>
        <w:jc w:val="center"/>
        <w:outlineLvl w:val="1"/>
        <w:rPr>
          <w:rFonts w:eastAsia="Arial" w:cs="Times New Roman"/>
          <w:szCs w:val="24"/>
          <w:lang w:eastAsia="cs-CZ"/>
        </w:rPr>
      </w:pPr>
      <w:r w:rsidRPr="001C2265">
        <w:rPr>
          <w:rFonts w:eastAsia="Arial" w:cs="Times New Roman"/>
          <w:szCs w:val="24"/>
          <w:lang w:eastAsia="cs-CZ"/>
        </w:rPr>
        <w:t>§ 263</w:t>
      </w:r>
    </w:p>
    <w:p w14:paraId="68DBBD3C" w14:textId="77777777" w:rsidR="00647CFB" w:rsidRPr="003E6AE3" w:rsidRDefault="00647CFB" w:rsidP="008E1253">
      <w:pPr>
        <w:tabs>
          <w:tab w:val="left" w:pos="426"/>
        </w:tabs>
        <w:spacing w:line="240" w:lineRule="auto"/>
        <w:jc w:val="center"/>
        <w:rPr>
          <w:rFonts w:eastAsia="Arial" w:cs="Times New Roman"/>
          <w:szCs w:val="24"/>
          <w:lang w:eastAsia="cs-CZ"/>
        </w:rPr>
      </w:pPr>
      <w:r w:rsidRPr="003E6AE3">
        <w:rPr>
          <w:rFonts w:eastAsia="Arial" w:cs="Times New Roman"/>
          <w:szCs w:val="24"/>
          <w:lang w:eastAsia="cs-CZ"/>
        </w:rPr>
        <w:t>Řízení u odvolacího soudu</w:t>
      </w:r>
    </w:p>
    <w:p w14:paraId="50F79577" w14:textId="5545C90A" w:rsidR="00647CFB" w:rsidRPr="001C2265" w:rsidRDefault="00647CFB" w:rsidP="008E1253">
      <w:pPr>
        <w:shd w:val="clear" w:color="auto" w:fill="FFFFFF"/>
        <w:spacing w:line="240" w:lineRule="auto"/>
        <w:ind w:firstLine="426"/>
        <w:rPr>
          <w:rFonts w:cs="Times New Roman"/>
          <w:szCs w:val="24"/>
        </w:rPr>
      </w:pPr>
      <w:r w:rsidRPr="001C2265">
        <w:rPr>
          <w:rFonts w:cs="Times New Roman"/>
          <w:szCs w:val="24"/>
        </w:rPr>
        <w:t>(1) O odvolání rozhoduje odvolací soud ve veřejném zasedání. Též v neveřejném zasedání může učinit rozhodnutí</w:t>
      </w:r>
    </w:p>
    <w:p w14:paraId="452DDAEF" w14:textId="77777777" w:rsidR="00647CFB" w:rsidRPr="003E6AE3" w:rsidRDefault="00647CFB" w:rsidP="008E1253">
      <w:pPr>
        <w:tabs>
          <w:tab w:val="left" w:pos="426"/>
        </w:tabs>
        <w:spacing w:line="240" w:lineRule="auto"/>
        <w:rPr>
          <w:rFonts w:eastAsia="Arial" w:cs="Times New Roman"/>
          <w:szCs w:val="24"/>
          <w:lang w:eastAsia="cs-CZ"/>
        </w:rPr>
      </w:pPr>
      <w:r w:rsidRPr="003E6AE3">
        <w:rPr>
          <w:rFonts w:eastAsia="Arial" w:cs="Times New Roman"/>
          <w:szCs w:val="24"/>
          <w:lang w:eastAsia="cs-CZ"/>
        </w:rPr>
        <w:t>a) podle </w:t>
      </w:r>
      <w:hyperlink r:id="rId54" w:history="1">
        <w:r w:rsidRPr="003E6AE3">
          <w:rPr>
            <w:rStyle w:val="Hypertextovodkaz"/>
            <w:rFonts w:eastAsia="Arial" w:cs="Times New Roman"/>
            <w:color w:val="auto"/>
            <w:szCs w:val="24"/>
            <w:u w:val="none"/>
            <w:lang w:eastAsia="cs-CZ"/>
          </w:rPr>
          <w:t>§ 253</w:t>
        </w:r>
      </w:hyperlink>
      <w:r w:rsidRPr="003E6AE3">
        <w:rPr>
          <w:rFonts w:eastAsia="Arial" w:cs="Times New Roman"/>
          <w:szCs w:val="24"/>
          <w:lang w:eastAsia="cs-CZ"/>
        </w:rPr>
        <w:t>, </w:t>
      </w:r>
      <w:hyperlink r:id="rId55" w:history="1">
        <w:r w:rsidRPr="003E6AE3">
          <w:rPr>
            <w:rStyle w:val="Hypertextovodkaz"/>
            <w:rFonts w:eastAsia="Arial" w:cs="Times New Roman"/>
            <w:color w:val="auto"/>
            <w:szCs w:val="24"/>
            <w:u w:val="none"/>
            <w:lang w:eastAsia="cs-CZ"/>
          </w:rPr>
          <w:t>255</w:t>
        </w:r>
      </w:hyperlink>
      <w:r w:rsidRPr="003E6AE3">
        <w:rPr>
          <w:rFonts w:eastAsia="Arial" w:cs="Times New Roman"/>
          <w:szCs w:val="24"/>
          <w:lang w:eastAsia="cs-CZ"/>
        </w:rPr>
        <w:t> a </w:t>
      </w:r>
      <w:hyperlink r:id="rId56" w:history="1">
        <w:r w:rsidRPr="003E6AE3">
          <w:rPr>
            <w:rStyle w:val="Hypertextovodkaz"/>
            <w:rFonts w:eastAsia="Arial" w:cs="Times New Roman"/>
            <w:color w:val="auto"/>
            <w:szCs w:val="24"/>
            <w:u w:val="none"/>
            <w:lang w:eastAsia="cs-CZ"/>
          </w:rPr>
          <w:t>257</w:t>
        </w:r>
      </w:hyperlink>
      <w:r w:rsidRPr="003E6AE3">
        <w:rPr>
          <w:rFonts w:eastAsia="Arial" w:cs="Times New Roman"/>
          <w:szCs w:val="24"/>
          <w:lang w:eastAsia="cs-CZ"/>
        </w:rPr>
        <w:t>,</w:t>
      </w:r>
    </w:p>
    <w:p w14:paraId="0B34E176" w14:textId="545FD6B1" w:rsidR="00647CFB" w:rsidRPr="003E6AE3" w:rsidRDefault="00647CFB"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b) podle </w:t>
      </w:r>
      <w:hyperlink r:id="rId57" w:history="1">
        <w:r w:rsidRPr="003E6AE3">
          <w:rPr>
            <w:rStyle w:val="Hypertextovodkaz"/>
            <w:rFonts w:eastAsia="Arial" w:cs="Times New Roman"/>
            <w:color w:val="auto"/>
            <w:szCs w:val="24"/>
            <w:u w:val="none"/>
            <w:lang w:eastAsia="cs-CZ"/>
          </w:rPr>
          <w:t>§ 258 odst. 1</w:t>
        </w:r>
      </w:hyperlink>
      <w:r w:rsidRPr="003E6AE3">
        <w:rPr>
          <w:rFonts w:eastAsia="Arial" w:cs="Times New Roman"/>
          <w:szCs w:val="24"/>
          <w:lang w:eastAsia="cs-CZ"/>
        </w:rPr>
        <w:t>, je-li zřejmé, že vadu nelze odstranit ve veřejném zasedání</w:t>
      </w:r>
      <w:r w:rsidR="004A268E" w:rsidRPr="003E6AE3">
        <w:rPr>
          <w:rFonts w:eastAsia="Arial" w:cs="Times New Roman"/>
          <w:b/>
          <w:bCs/>
          <w:szCs w:val="24"/>
          <w:lang w:eastAsia="cs-CZ"/>
        </w:rPr>
        <w:t xml:space="preserve">, </w:t>
      </w:r>
      <w:r w:rsidR="004A268E" w:rsidRPr="003E6AE3">
        <w:rPr>
          <w:rFonts w:cs="Times New Roman"/>
          <w:b/>
          <w:bCs/>
          <w:szCs w:val="24"/>
        </w:rPr>
        <w:t>a nejde-li o</w:t>
      </w:r>
      <w:r w:rsidR="00FE354B" w:rsidRPr="003E6AE3">
        <w:rPr>
          <w:rFonts w:cs="Times New Roman"/>
          <w:b/>
          <w:bCs/>
          <w:szCs w:val="24"/>
        </w:rPr>
        <w:t> </w:t>
      </w:r>
      <w:r w:rsidR="004A268E" w:rsidRPr="003E6AE3">
        <w:rPr>
          <w:rFonts w:cs="Times New Roman"/>
          <w:b/>
          <w:bCs/>
          <w:szCs w:val="24"/>
        </w:rPr>
        <w:t>případ, kdy je třeba provést ve veřejném zasedání důkazy, u nichž má odvolací soud pochybnosti o správnosti jejich hodnocení ve smyslu § 2 odst. 6</w:t>
      </w:r>
      <w:r w:rsidRPr="003E6AE3">
        <w:rPr>
          <w:rFonts w:eastAsia="Arial" w:cs="Times New Roman"/>
          <w:szCs w:val="24"/>
          <w:lang w:eastAsia="cs-CZ"/>
        </w:rPr>
        <w:t>.</w:t>
      </w:r>
    </w:p>
    <w:p w14:paraId="06BA2F28" w14:textId="1771BC7E" w:rsidR="00647CFB" w:rsidRPr="001C2265" w:rsidRDefault="00647CFB" w:rsidP="008E1253">
      <w:pPr>
        <w:shd w:val="clear" w:color="auto" w:fill="FFFFFF"/>
        <w:spacing w:line="240" w:lineRule="auto"/>
        <w:ind w:firstLine="426"/>
        <w:rPr>
          <w:rFonts w:cs="Times New Roman"/>
          <w:szCs w:val="24"/>
        </w:rPr>
      </w:pPr>
      <w:r w:rsidRPr="001C2265">
        <w:rPr>
          <w:rFonts w:cs="Times New Roman"/>
          <w:szCs w:val="24"/>
        </w:rPr>
        <w:t>(2) Účast státního zástupce při veřejném zasedání je povinná.</w:t>
      </w:r>
    </w:p>
    <w:p w14:paraId="2FAFC95B" w14:textId="0158D963" w:rsidR="00647CFB" w:rsidRPr="001C2265" w:rsidRDefault="00647CFB" w:rsidP="008E1253">
      <w:pPr>
        <w:shd w:val="clear" w:color="auto" w:fill="FFFFFF"/>
        <w:spacing w:line="240" w:lineRule="auto"/>
        <w:ind w:firstLine="426"/>
        <w:rPr>
          <w:rFonts w:cs="Times New Roman"/>
          <w:szCs w:val="24"/>
        </w:rPr>
      </w:pPr>
      <w:r w:rsidRPr="001C2265">
        <w:rPr>
          <w:rFonts w:cs="Times New Roman"/>
          <w:szCs w:val="24"/>
        </w:rPr>
        <w:t>(3) Při veřejném zasedání konaném o odvolání musí obžalovaný mít obhájce ve všech případech, kdy ho musí mít při hlavním líčení.</w:t>
      </w:r>
    </w:p>
    <w:p w14:paraId="05CC67E7" w14:textId="1B450976" w:rsidR="00647CFB" w:rsidRPr="001C2265" w:rsidRDefault="00647CFB" w:rsidP="008E1253">
      <w:pPr>
        <w:shd w:val="clear" w:color="auto" w:fill="FFFFFF"/>
        <w:spacing w:line="240" w:lineRule="auto"/>
        <w:ind w:firstLine="426"/>
        <w:rPr>
          <w:rFonts w:cs="Times New Roman"/>
          <w:szCs w:val="24"/>
        </w:rPr>
      </w:pPr>
      <w:r w:rsidRPr="001C2265">
        <w:rPr>
          <w:rFonts w:cs="Times New Roman"/>
          <w:szCs w:val="24"/>
        </w:rPr>
        <w:t>(4) V nepřítomnosti obžalovaného, který je ve vazbě nebo ve výkonu trestu odnětí svobody, lze veřejné zasedání odvolacího soudu konat jen tehdy, jestliže obžalovaný výslovně prohlásí, že se účasti při veřejném zasedání vzdává.</w:t>
      </w:r>
    </w:p>
    <w:p w14:paraId="05890578" w14:textId="77777777" w:rsidR="001C2265" w:rsidRDefault="00647CFB" w:rsidP="008E1253">
      <w:pPr>
        <w:shd w:val="clear" w:color="auto" w:fill="FFFFFF"/>
        <w:spacing w:line="240" w:lineRule="auto"/>
        <w:ind w:firstLine="426"/>
        <w:rPr>
          <w:rFonts w:cs="Times New Roman"/>
          <w:szCs w:val="24"/>
        </w:rPr>
      </w:pPr>
      <w:r w:rsidRPr="001C2265">
        <w:rPr>
          <w:rFonts w:cs="Times New Roman"/>
          <w:szCs w:val="24"/>
        </w:rPr>
        <w:t>(5) Po zahájení veřejného zasedání přednese předseda senátu nebo jím určený člen senátu napadený rozsudek a podá zprávu o stavu věci. Potom přednese odvolatel své odvolání a</w:t>
      </w:r>
      <w:r w:rsidR="006026E6" w:rsidRPr="001C2265">
        <w:rPr>
          <w:rFonts w:cs="Times New Roman"/>
          <w:szCs w:val="24"/>
        </w:rPr>
        <w:t> </w:t>
      </w:r>
      <w:r w:rsidRPr="001C2265">
        <w:rPr>
          <w:rFonts w:cs="Times New Roman"/>
          <w:szCs w:val="24"/>
        </w:rPr>
        <w:t>odůvodní je; není-li odvolatel přítomen, přečte odvolání včetně odůvodnění předseda senátu nebo jím určený člen senátu. Státní zástupce a osoby, které mohou být rozhodnutím odvolacího soudu přímo dotčeny, pokud nejsou odvolateli, přednesou své vyjádření a návrhy na provedení dokazování; není-li některá z těchto osob přítomna a je-li vyjádření obsaženo ve spise, anebo požádá-li o to, přednese obsah jejich podání předseda senátu nebo jím určený člen senátu.</w:t>
      </w:r>
    </w:p>
    <w:p w14:paraId="40CCE2AF" w14:textId="77777777" w:rsidR="001C2265" w:rsidRDefault="00647CFB" w:rsidP="008E1253">
      <w:pPr>
        <w:shd w:val="clear" w:color="auto" w:fill="FFFFFF"/>
        <w:spacing w:line="240" w:lineRule="auto"/>
        <w:ind w:firstLine="426"/>
        <w:rPr>
          <w:rFonts w:cs="Times New Roman"/>
          <w:szCs w:val="24"/>
        </w:rPr>
      </w:pPr>
      <w:r w:rsidRPr="003E6AE3">
        <w:rPr>
          <w:rFonts w:eastAsia="Arial" w:cs="Times New Roman"/>
          <w:szCs w:val="24"/>
          <w:lang w:eastAsia="cs-CZ"/>
        </w:rPr>
        <w:t xml:space="preserve">(6) Po přednesení návrhů ve veřejném zasedání provede odvolací soud důkazy potřebné pro rozhodnutí o odvolání, nejde-li o rozsáhlé a obtížně proveditelné doplnění dokazování, které by znamenalo nahrazovat činnost soudu prvního stupně. Na provádění důkazů se užije ustanovení o provádění důkazů v hlavním líčení. Není-li obviněný přítomen, ač byl </w:t>
      </w:r>
      <w:r w:rsidRPr="003E6AE3">
        <w:rPr>
          <w:rFonts w:eastAsia="Arial" w:cs="Times New Roman"/>
          <w:strike/>
          <w:szCs w:val="24"/>
          <w:lang w:eastAsia="cs-CZ"/>
        </w:rPr>
        <w:t>řádně předvolán</w:t>
      </w:r>
      <w:r w:rsidR="0053221A" w:rsidRPr="003E6AE3">
        <w:rPr>
          <w:rFonts w:eastAsia="Arial" w:cs="Times New Roman"/>
          <w:szCs w:val="24"/>
          <w:lang w:eastAsia="cs-CZ"/>
        </w:rPr>
        <w:t xml:space="preserve"> </w:t>
      </w:r>
      <w:r w:rsidR="0053221A" w:rsidRPr="003E6AE3">
        <w:rPr>
          <w:rFonts w:cs="Times New Roman"/>
          <w:b/>
          <w:bCs/>
          <w:szCs w:val="24"/>
        </w:rPr>
        <w:t>k veřejnému zasedání řádně předvolán nebo o něm vyrozuměn</w:t>
      </w:r>
      <w:r w:rsidRPr="003E6AE3">
        <w:rPr>
          <w:rFonts w:eastAsia="Arial" w:cs="Times New Roman"/>
          <w:szCs w:val="24"/>
          <w:lang w:eastAsia="cs-CZ"/>
        </w:rPr>
        <w:t>, má se za to, že</w:t>
      </w:r>
      <w:r w:rsidR="001C2265">
        <w:rPr>
          <w:rFonts w:eastAsia="Arial" w:cs="Times New Roman"/>
          <w:szCs w:val="24"/>
          <w:lang w:eastAsia="cs-CZ"/>
        </w:rPr>
        <w:t> </w:t>
      </w:r>
      <w:r w:rsidRPr="003E6AE3">
        <w:rPr>
          <w:rFonts w:eastAsia="Arial" w:cs="Times New Roman"/>
          <w:szCs w:val="24"/>
          <w:lang w:eastAsia="cs-CZ"/>
        </w:rPr>
        <w:t>s</w:t>
      </w:r>
      <w:r w:rsidR="006026E6" w:rsidRPr="003E6AE3">
        <w:rPr>
          <w:rFonts w:eastAsia="Arial" w:cs="Times New Roman"/>
          <w:szCs w:val="24"/>
          <w:lang w:eastAsia="cs-CZ"/>
        </w:rPr>
        <w:t> </w:t>
      </w:r>
      <w:r w:rsidRPr="003E6AE3">
        <w:rPr>
          <w:rFonts w:eastAsia="Arial" w:cs="Times New Roman"/>
          <w:szCs w:val="24"/>
          <w:lang w:eastAsia="cs-CZ"/>
        </w:rPr>
        <w:t>přečtením protokolů o výslechu svědků a znalců souhlasí.</w:t>
      </w:r>
    </w:p>
    <w:p w14:paraId="0F250482" w14:textId="6BAF57EC" w:rsidR="00647CFB" w:rsidRPr="001C2265" w:rsidRDefault="00647CFB" w:rsidP="008E1253">
      <w:pPr>
        <w:shd w:val="clear" w:color="auto" w:fill="FFFFFF"/>
        <w:spacing w:line="240" w:lineRule="auto"/>
        <w:ind w:firstLine="426"/>
        <w:rPr>
          <w:rFonts w:cs="Times New Roman"/>
          <w:szCs w:val="24"/>
        </w:rPr>
      </w:pPr>
      <w:r w:rsidRPr="003E6AE3">
        <w:rPr>
          <w:rFonts w:eastAsia="Arial" w:cs="Times New Roman"/>
          <w:szCs w:val="24"/>
          <w:lang w:eastAsia="cs-CZ"/>
        </w:rPr>
        <w:t>(7) Z hlediska změny nebo doplnění skutkových zjištění odvolací soud může přihlížet jen k důkazům, které byly provedeny ve veřejném zasedání před odvolacím soudem; tyto důkazy hodnotí v návaznosti na důkazy provedené soudem prvního stupně v hlavním líčení. Odvolací soud je vázán hodnocením těchto důkazů soudem prvního stupně s výjimkou těch důkazů, které odvolací soud sám ve veřejném zasedání znovu provedl.</w:t>
      </w:r>
    </w:p>
    <w:p w14:paraId="18A01FDF" w14:textId="77777777" w:rsidR="0067649C" w:rsidRPr="003E6AE3" w:rsidRDefault="0067649C" w:rsidP="0067649C">
      <w:pPr>
        <w:keepNext/>
        <w:spacing w:line="240" w:lineRule="auto"/>
        <w:jc w:val="center"/>
        <w:outlineLvl w:val="1"/>
        <w:rPr>
          <w:rFonts w:eastAsia="Arial" w:cs="Times New Roman"/>
          <w:szCs w:val="24"/>
          <w:lang w:eastAsia="cs-CZ"/>
        </w:rPr>
      </w:pPr>
      <w:r w:rsidRPr="003E6AE3">
        <w:rPr>
          <w:rFonts w:eastAsia="Arial" w:cs="Times New Roman"/>
          <w:szCs w:val="24"/>
          <w:lang w:eastAsia="cs-CZ"/>
        </w:rPr>
        <w:t>§ 264</w:t>
      </w:r>
    </w:p>
    <w:p w14:paraId="51F371F9" w14:textId="77777777" w:rsidR="0067649C" w:rsidRPr="003E6AE3" w:rsidRDefault="0067649C" w:rsidP="0067649C">
      <w:pPr>
        <w:tabs>
          <w:tab w:val="left" w:pos="426"/>
        </w:tabs>
        <w:spacing w:line="240" w:lineRule="auto"/>
        <w:jc w:val="center"/>
        <w:rPr>
          <w:rFonts w:eastAsia="Arial" w:cs="Times New Roman"/>
          <w:szCs w:val="24"/>
          <w:lang w:eastAsia="cs-CZ"/>
        </w:rPr>
      </w:pPr>
      <w:bookmarkStart w:id="27" w:name="c_187048"/>
      <w:bookmarkEnd w:id="27"/>
      <w:r w:rsidRPr="003E6AE3">
        <w:rPr>
          <w:rFonts w:eastAsia="Arial" w:cs="Times New Roman"/>
          <w:szCs w:val="24"/>
          <w:lang w:eastAsia="cs-CZ"/>
        </w:rPr>
        <w:t>Řízení u soudu prvního stupně po zrušení rozsudku</w:t>
      </w:r>
    </w:p>
    <w:p w14:paraId="03682DA2"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 xml:space="preserve">(1) Soud, jemuž věc byla vrácena k novému projednání a rozhodnutí, je vázán právním názorem, který vyslovil ve svém rozhodnutí odvolací soud, </w:t>
      </w:r>
      <w:r w:rsidRPr="003E6AE3">
        <w:rPr>
          <w:rFonts w:eastAsia="Arial" w:cs="Times New Roman"/>
          <w:strike/>
          <w:szCs w:val="24"/>
          <w:lang w:eastAsia="cs-CZ"/>
        </w:rPr>
        <w:t>a je</w:t>
      </w:r>
      <w:r w:rsidRPr="003E6AE3">
        <w:rPr>
          <w:rFonts w:eastAsia="Arial" w:cs="Times New Roman"/>
          <w:szCs w:val="24"/>
          <w:lang w:eastAsia="cs-CZ"/>
        </w:rPr>
        <w:t xml:space="preserve"> </w:t>
      </w:r>
      <w:r w:rsidRPr="003E6AE3">
        <w:rPr>
          <w:rFonts w:eastAsia="Arial" w:cs="Times New Roman"/>
          <w:b/>
          <w:bCs/>
          <w:szCs w:val="24"/>
          <w:lang w:eastAsia="cs-CZ"/>
        </w:rPr>
        <w:t xml:space="preserve">je </w:t>
      </w:r>
      <w:r w:rsidRPr="003E6AE3">
        <w:rPr>
          <w:rFonts w:eastAsia="Arial" w:cs="Times New Roman"/>
          <w:szCs w:val="24"/>
          <w:lang w:eastAsia="cs-CZ"/>
        </w:rPr>
        <w:t xml:space="preserve">povinen provést úkony a doplnění, jejichž provedení odvolací soud nařídil </w:t>
      </w:r>
      <w:r w:rsidRPr="003E6AE3">
        <w:rPr>
          <w:rFonts w:cs="Times New Roman"/>
          <w:b/>
          <w:bCs/>
          <w:szCs w:val="24"/>
        </w:rPr>
        <w:t>a dostatečně se vypořádat s pochybnostmi odvolacího soudu ohledně správnosti skutkových zjištění</w:t>
      </w:r>
      <w:r w:rsidRPr="003E6AE3">
        <w:rPr>
          <w:rFonts w:eastAsia="Arial" w:cs="Times New Roman"/>
          <w:szCs w:val="24"/>
          <w:lang w:eastAsia="cs-CZ"/>
        </w:rPr>
        <w:t>.</w:t>
      </w:r>
    </w:p>
    <w:p w14:paraId="4EAB60F7" w14:textId="77777777" w:rsidR="0067649C" w:rsidRPr="003E6AE3" w:rsidRDefault="0067649C" w:rsidP="0067649C">
      <w:pPr>
        <w:shd w:val="clear" w:color="auto" w:fill="FFFFFF"/>
        <w:spacing w:line="240" w:lineRule="auto"/>
        <w:ind w:firstLine="426"/>
        <w:rPr>
          <w:rFonts w:eastAsia="Arial" w:cs="Times New Roman"/>
          <w:szCs w:val="24"/>
          <w:lang w:eastAsia="cs-CZ"/>
        </w:rPr>
      </w:pPr>
      <w:r w:rsidRPr="003E6AE3">
        <w:rPr>
          <w:rFonts w:eastAsia="Arial" w:cs="Times New Roman"/>
          <w:szCs w:val="24"/>
          <w:lang w:eastAsia="cs-CZ"/>
        </w:rPr>
        <w:t>(2) Byl-li napadený rozsudek zrušen jen v důsledku odvolání podaného ve prospěch obžalovaného, nemůže v novém řízení dojít ke změně rozhodnutí v jeho neprospěch.</w:t>
      </w:r>
    </w:p>
    <w:p w14:paraId="1FB3B7A7" w14:textId="77777777" w:rsidR="0067649C" w:rsidRPr="003E6AE3" w:rsidRDefault="0067649C" w:rsidP="0067649C">
      <w:pPr>
        <w:keepNext/>
        <w:spacing w:line="240" w:lineRule="auto"/>
        <w:jc w:val="center"/>
        <w:outlineLvl w:val="1"/>
        <w:rPr>
          <w:rFonts w:eastAsia="Arial" w:cs="Times New Roman"/>
          <w:szCs w:val="24"/>
          <w:lang w:eastAsia="cs-CZ"/>
        </w:rPr>
      </w:pPr>
      <w:r w:rsidRPr="003E6AE3">
        <w:rPr>
          <w:rFonts w:eastAsia="Arial" w:cs="Times New Roman"/>
          <w:szCs w:val="24"/>
          <w:lang w:eastAsia="cs-CZ"/>
        </w:rPr>
        <w:t>§ 265l </w:t>
      </w:r>
    </w:p>
    <w:p w14:paraId="4C9945ED"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(1) Je-li po zrušení napadeného rozhodnutí nebo některého jeho výroku nutno učinit ve</w:t>
      </w:r>
      <w:r>
        <w:rPr>
          <w:rFonts w:eastAsia="Arial" w:cs="Times New Roman"/>
          <w:szCs w:val="24"/>
          <w:lang w:eastAsia="cs-CZ"/>
        </w:rPr>
        <w:t> </w:t>
      </w:r>
      <w:r w:rsidRPr="003E6AE3">
        <w:rPr>
          <w:rFonts w:eastAsia="Arial" w:cs="Times New Roman"/>
          <w:szCs w:val="24"/>
          <w:lang w:eastAsia="cs-CZ"/>
        </w:rPr>
        <w:t>věci nové rozhodnutí, přikáže Nejvyšší soud zpravidla soudu, o jehož rozhodnutí jde, aby věc v</w:t>
      </w:r>
      <w:r>
        <w:rPr>
          <w:rFonts w:eastAsia="Arial" w:cs="Times New Roman"/>
          <w:szCs w:val="24"/>
          <w:lang w:eastAsia="cs-CZ"/>
        </w:rPr>
        <w:t> </w:t>
      </w:r>
      <w:r w:rsidRPr="003E6AE3">
        <w:rPr>
          <w:rFonts w:eastAsia="Arial" w:cs="Times New Roman"/>
          <w:szCs w:val="24"/>
          <w:lang w:eastAsia="cs-CZ"/>
        </w:rPr>
        <w:t>potřebném rozsahu znovu projednal a rozhodl.</w:t>
      </w:r>
    </w:p>
    <w:p w14:paraId="2F1C8125"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(2) Záleží-li vada jen v tom, že v napadeném rozhodnutí některý výrok chybí nebo je neúplný, může Nejvyšší soud, aniž rozhodnutí zruší, přikázat soudu, o jehož rozhodnutí jde, aby o chybějícím výroku rozhodl nebo neúplný výrok doplnil.</w:t>
      </w:r>
    </w:p>
    <w:p w14:paraId="73933F6E" w14:textId="77777777" w:rsidR="0067649C" w:rsidRPr="003E6AE3" w:rsidRDefault="0067649C" w:rsidP="0067649C">
      <w:pPr>
        <w:tabs>
          <w:tab w:val="left" w:pos="426"/>
        </w:tabs>
        <w:spacing w:line="240" w:lineRule="auto"/>
        <w:ind w:firstLine="426"/>
        <w:rPr>
          <w:rFonts w:eastAsia="Arial" w:cs="Times New Roman"/>
          <w:strike/>
          <w:szCs w:val="24"/>
          <w:lang w:eastAsia="cs-CZ"/>
        </w:rPr>
      </w:pPr>
      <w:r w:rsidRPr="003E6AE3">
        <w:rPr>
          <w:rFonts w:eastAsia="Arial" w:cs="Times New Roman"/>
          <w:strike/>
          <w:szCs w:val="24"/>
          <w:lang w:eastAsia="cs-CZ"/>
        </w:rPr>
        <w:t>(3) Přikazuje-li Nejvyšší soud věc podle odstavce 1 nebo 2 k novému projednání a</w:t>
      </w:r>
      <w:r>
        <w:rPr>
          <w:rFonts w:eastAsia="Arial" w:cs="Times New Roman"/>
          <w:strike/>
          <w:szCs w:val="24"/>
          <w:lang w:eastAsia="cs-CZ"/>
        </w:rPr>
        <w:t> </w:t>
      </w:r>
      <w:r w:rsidRPr="003E6AE3">
        <w:rPr>
          <w:rFonts w:eastAsia="Arial" w:cs="Times New Roman"/>
          <w:strike/>
          <w:szCs w:val="24"/>
          <w:lang w:eastAsia="cs-CZ"/>
        </w:rPr>
        <w:t>rozhodnutí, může zároveň nařídit, aby ji soud projednal a rozhodl v jiném složení senátu nebo jiným samosoudcem. Z důležitých důvodů může také věc přikázat k projednání a rozhodnutí jinému soudu nebo jinému státnímu zástupci.</w:t>
      </w:r>
    </w:p>
    <w:p w14:paraId="72F55ABD" w14:textId="77777777" w:rsidR="0067649C" w:rsidRPr="003E6AE3" w:rsidRDefault="0067649C" w:rsidP="0067649C">
      <w:pPr>
        <w:shd w:val="clear" w:color="auto" w:fill="FFFFFF"/>
        <w:spacing w:line="240" w:lineRule="auto"/>
        <w:ind w:firstLine="426"/>
        <w:rPr>
          <w:rFonts w:eastAsia="Aptos" w:cs="Times New Roman"/>
          <w:b/>
          <w:bCs/>
          <w:szCs w:val="24"/>
        </w:rPr>
      </w:pPr>
      <w:r w:rsidRPr="003E6AE3">
        <w:rPr>
          <w:rFonts w:cs="Times New Roman"/>
          <w:b/>
          <w:bCs/>
          <w:szCs w:val="24"/>
        </w:rPr>
        <w:t>(3) Pokud Nejvyšší soud přikazuje věc podle odstavce 1 nebo 2 k novému projednání a</w:t>
      </w:r>
      <w:r>
        <w:rPr>
          <w:rFonts w:cs="Times New Roman"/>
          <w:b/>
          <w:bCs/>
          <w:szCs w:val="24"/>
        </w:rPr>
        <w:t> </w:t>
      </w:r>
      <w:r w:rsidRPr="003E6AE3">
        <w:rPr>
          <w:rFonts w:cs="Times New Roman"/>
          <w:b/>
          <w:bCs/>
          <w:szCs w:val="24"/>
        </w:rPr>
        <w:t>rozhodnutí soudu, § 259 odst. 6 a § 262 se použijí přiměřeně. Z důležitých důvodů může také věc přikázat k projednání a rozhodnutí jinému státnímu zástupci. Pokud věc vrací k novému projednání a rozhodnutí soudu prvního stupně, může z důvodů uvedených v</w:t>
      </w:r>
      <w:r>
        <w:rPr>
          <w:rFonts w:cs="Times New Roman"/>
          <w:b/>
          <w:bCs/>
          <w:szCs w:val="24"/>
        </w:rPr>
        <w:t> </w:t>
      </w:r>
      <w:r w:rsidRPr="003E6AE3">
        <w:rPr>
          <w:rFonts w:cs="Times New Roman"/>
          <w:b/>
          <w:bCs/>
          <w:szCs w:val="24"/>
        </w:rPr>
        <w:t>§</w:t>
      </w:r>
      <w:r>
        <w:rPr>
          <w:rFonts w:cs="Times New Roman"/>
          <w:b/>
          <w:bCs/>
          <w:szCs w:val="24"/>
        </w:rPr>
        <w:t> </w:t>
      </w:r>
      <w:r w:rsidRPr="003E6AE3">
        <w:rPr>
          <w:rFonts w:cs="Times New Roman"/>
          <w:b/>
          <w:bCs/>
          <w:szCs w:val="24"/>
        </w:rPr>
        <w:t>262 odst. 1 zároveň nařídit, aby, bude-li se v této věci konat řízení před odvolacím soudem, byla věc projednána a rozhodnuta v jiném složení senátu odvolacího soudu nebo jiným odvolacím soudem.</w:t>
      </w:r>
    </w:p>
    <w:p w14:paraId="49A7078F"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(4) Vykonává-li se na obviněném trest odnětí svobody uložený mu původním rozsudkem a Nejvyšší soud k dovolání výrok o tomto trestu zruší, rozhodne zároveň o vazbě. Ustanovení o vazebním zasedání (</w:t>
      </w:r>
      <w:hyperlink r:id="rId58" w:history="1">
        <w:r w:rsidRPr="003E6AE3">
          <w:rPr>
            <w:rStyle w:val="Hypertextovodkaz"/>
            <w:rFonts w:eastAsia="Arial" w:cs="Times New Roman"/>
            <w:color w:val="auto"/>
            <w:szCs w:val="24"/>
            <w:u w:val="none"/>
            <w:lang w:eastAsia="cs-CZ"/>
          </w:rPr>
          <w:t>§ 73d</w:t>
        </w:r>
      </w:hyperlink>
      <w:r w:rsidRPr="003E6AE3">
        <w:rPr>
          <w:rFonts w:eastAsia="Arial" w:cs="Times New Roman"/>
          <w:szCs w:val="24"/>
          <w:lang w:eastAsia="cs-CZ"/>
        </w:rPr>
        <w:t> až </w:t>
      </w:r>
      <w:hyperlink r:id="rId59" w:history="1">
        <w:r w:rsidRPr="003E6AE3">
          <w:rPr>
            <w:rStyle w:val="Hypertextovodkaz"/>
            <w:rFonts w:eastAsia="Arial" w:cs="Times New Roman"/>
            <w:color w:val="auto"/>
            <w:szCs w:val="24"/>
            <w:u w:val="none"/>
            <w:lang w:eastAsia="cs-CZ"/>
          </w:rPr>
          <w:t>73g</w:t>
        </w:r>
      </w:hyperlink>
      <w:r w:rsidRPr="003E6AE3">
        <w:rPr>
          <w:rFonts w:eastAsia="Arial" w:cs="Times New Roman"/>
          <w:szCs w:val="24"/>
          <w:lang w:eastAsia="cs-CZ"/>
        </w:rPr>
        <w:t>) se v tomto případě neužijí.</w:t>
      </w:r>
    </w:p>
    <w:p w14:paraId="27D9DF61" w14:textId="77777777" w:rsidR="0067649C" w:rsidRPr="003E6AE3" w:rsidRDefault="0067649C" w:rsidP="0067649C">
      <w:pPr>
        <w:keepNext/>
        <w:spacing w:line="240" w:lineRule="auto"/>
        <w:jc w:val="center"/>
        <w:outlineLvl w:val="1"/>
        <w:rPr>
          <w:rFonts w:eastAsia="Arial" w:cs="Times New Roman"/>
          <w:szCs w:val="24"/>
          <w:lang w:eastAsia="cs-CZ"/>
        </w:rPr>
      </w:pPr>
      <w:r w:rsidRPr="003E6AE3">
        <w:rPr>
          <w:rFonts w:eastAsia="Arial" w:cs="Times New Roman"/>
          <w:szCs w:val="24"/>
          <w:lang w:eastAsia="cs-CZ"/>
        </w:rPr>
        <w:t>§ 265s </w:t>
      </w:r>
    </w:p>
    <w:p w14:paraId="6C5B4B53" w14:textId="77777777" w:rsidR="0067649C" w:rsidRPr="003E6AE3" w:rsidRDefault="0067649C" w:rsidP="0067649C">
      <w:pPr>
        <w:tabs>
          <w:tab w:val="left" w:pos="426"/>
        </w:tabs>
        <w:spacing w:line="240" w:lineRule="auto"/>
        <w:jc w:val="center"/>
        <w:rPr>
          <w:rFonts w:eastAsia="Arial" w:cs="Times New Roman"/>
          <w:szCs w:val="24"/>
          <w:lang w:eastAsia="cs-CZ"/>
        </w:rPr>
      </w:pPr>
      <w:bookmarkStart w:id="28" w:name="c_191996"/>
      <w:bookmarkEnd w:id="28"/>
      <w:r w:rsidRPr="003E6AE3">
        <w:rPr>
          <w:rFonts w:eastAsia="Arial" w:cs="Times New Roman"/>
          <w:szCs w:val="24"/>
          <w:lang w:eastAsia="cs-CZ"/>
        </w:rPr>
        <w:t>Řízení po přikázání věci</w:t>
      </w:r>
    </w:p>
    <w:p w14:paraId="0565AD1C"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 xml:space="preserve">(1) Orgán činný v trestním řízení, jemuž věc byla přikázána k novému projednání a rozhodnutí, je vázán právním názorem, který vyslovil ve svém rozhodnutí Nejvyšší soud, </w:t>
      </w:r>
      <w:r w:rsidRPr="003E6AE3">
        <w:rPr>
          <w:rFonts w:eastAsia="Arial" w:cs="Times New Roman"/>
          <w:strike/>
          <w:szCs w:val="24"/>
          <w:lang w:eastAsia="cs-CZ"/>
        </w:rPr>
        <w:t>a je</w:t>
      </w:r>
      <w:r w:rsidRPr="003E6AE3">
        <w:rPr>
          <w:rFonts w:eastAsia="Arial" w:cs="Times New Roman"/>
          <w:szCs w:val="24"/>
          <w:lang w:eastAsia="cs-CZ"/>
        </w:rPr>
        <w:t xml:space="preserve"> </w:t>
      </w:r>
      <w:r w:rsidRPr="003E6AE3">
        <w:rPr>
          <w:rFonts w:eastAsia="Arial" w:cs="Times New Roman"/>
          <w:b/>
          <w:bCs/>
          <w:szCs w:val="24"/>
          <w:lang w:eastAsia="cs-CZ"/>
        </w:rPr>
        <w:t xml:space="preserve">je </w:t>
      </w:r>
      <w:r w:rsidRPr="003E6AE3">
        <w:rPr>
          <w:rFonts w:eastAsia="Arial" w:cs="Times New Roman"/>
          <w:szCs w:val="24"/>
          <w:lang w:eastAsia="cs-CZ"/>
        </w:rPr>
        <w:t xml:space="preserve">povinen provést úkony a doplnění, jejichž provedení Nejvyšší soud nařídil </w:t>
      </w:r>
      <w:r w:rsidRPr="003E6AE3">
        <w:rPr>
          <w:rFonts w:cs="Times New Roman"/>
          <w:b/>
          <w:bCs/>
          <w:szCs w:val="24"/>
        </w:rPr>
        <w:t>a dostatečně se vypořádat s pochybnostmi Nejvyššího soudu ohledně správnosti skutkových zjištění</w:t>
      </w:r>
      <w:r w:rsidRPr="003E6AE3">
        <w:rPr>
          <w:rFonts w:eastAsia="Arial" w:cs="Times New Roman"/>
          <w:szCs w:val="24"/>
          <w:lang w:eastAsia="cs-CZ"/>
        </w:rPr>
        <w:t>.</w:t>
      </w:r>
    </w:p>
    <w:p w14:paraId="28AECBB0"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(2) Bylo-li napadené rozhodnutí zrušeno jen v důsledku dovolání podaného ve prospěch obviněného, nemůže v novém řízení dojít ke změně rozhodnutí v jeho neprospěch.</w:t>
      </w:r>
    </w:p>
    <w:p w14:paraId="54C8E179" w14:textId="77777777" w:rsidR="0067649C" w:rsidRPr="003E6AE3" w:rsidRDefault="0067649C" w:rsidP="0067649C">
      <w:pPr>
        <w:keepNext/>
        <w:spacing w:line="240" w:lineRule="auto"/>
        <w:jc w:val="center"/>
        <w:outlineLvl w:val="1"/>
        <w:rPr>
          <w:rFonts w:eastAsia="Arial" w:cs="Times New Roman"/>
          <w:szCs w:val="24"/>
          <w:lang w:eastAsia="cs-CZ"/>
        </w:rPr>
      </w:pPr>
      <w:r w:rsidRPr="003E6AE3">
        <w:rPr>
          <w:rFonts w:eastAsia="Arial" w:cs="Times New Roman"/>
          <w:szCs w:val="24"/>
          <w:lang w:eastAsia="cs-CZ"/>
        </w:rPr>
        <w:t>§ 270 </w:t>
      </w:r>
    </w:p>
    <w:p w14:paraId="397EC430"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(1) Je-li po zrušení napadeného rozhodnutí nebo některého jeho výroku nutno učinit ve</w:t>
      </w:r>
      <w:r>
        <w:rPr>
          <w:rFonts w:eastAsia="Arial" w:cs="Times New Roman"/>
          <w:szCs w:val="24"/>
          <w:lang w:eastAsia="cs-CZ"/>
        </w:rPr>
        <w:t> </w:t>
      </w:r>
      <w:r w:rsidRPr="003E6AE3">
        <w:rPr>
          <w:rFonts w:eastAsia="Arial" w:cs="Times New Roman"/>
          <w:szCs w:val="24"/>
          <w:lang w:eastAsia="cs-CZ"/>
        </w:rPr>
        <w:t>věci rozhodnutí nové, přikáže Nejvyšší soud zpravidla orgánu, o jehož rozhodnutí jde, aby věc v</w:t>
      </w:r>
      <w:r>
        <w:rPr>
          <w:rFonts w:eastAsia="Arial" w:cs="Times New Roman"/>
          <w:szCs w:val="24"/>
          <w:lang w:eastAsia="cs-CZ"/>
        </w:rPr>
        <w:t> </w:t>
      </w:r>
      <w:r w:rsidRPr="003E6AE3">
        <w:rPr>
          <w:rFonts w:eastAsia="Arial" w:cs="Times New Roman"/>
          <w:szCs w:val="24"/>
          <w:lang w:eastAsia="cs-CZ"/>
        </w:rPr>
        <w:t>potřebném rozsahu znovu projednal a rozhodl.</w:t>
      </w:r>
    </w:p>
    <w:p w14:paraId="4F392820" w14:textId="77777777" w:rsidR="0067649C" w:rsidRPr="003E6AE3"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(2) Záleží-li porušení zákona jen v tom, že v napadeném rozhodnutí některý výrok chybí nebo je neúplný, může Nejvyšší soud, aniž rozhodnutí zruší, přikázat orgánu, o jehož rozhodnutí jde, aby o chybějícím výroku rozhodl nebo neúplný výrok doplnil.</w:t>
      </w:r>
    </w:p>
    <w:p w14:paraId="5EC5206D" w14:textId="77777777" w:rsidR="0067649C" w:rsidRPr="006E76B3" w:rsidRDefault="0067649C" w:rsidP="0067649C">
      <w:pPr>
        <w:tabs>
          <w:tab w:val="left" w:pos="426"/>
        </w:tabs>
        <w:spacing w:line="240" w:lineRule="auto"/>
        <w:ind w:firstLine="426"/>
        <w:rPr>
          <w:rFonts w:eastAsia="Arial" w:cs="Times New Roman"/>
          <w:strike/>
          <w:szCs w:val="24"/>
          <w:lang w:eastAsia="cs-CZ"/>
        </w:rPr>
      </w:pPr>
      <w:r w:rsidRPr="006E76B3">
        <w:rPr>
          <w:rFonts w:eastAsia="Arial" w:cs="Times New Roman"/>
          <w:strike/>
          <w:szCs w:val="24"/>
          <w:lang w:eastAsia="cs-CZ"/>
        </w:rPr>
        <w:t>(3) Přikazuje-li Nejvyšší soud věc podle odstavce 1 nebo 2 k novému projednání a</w:t>
      </w:r>
      <w:r>
        <w:rPr>
          <w:rFonts w:eastAsia="Arial" w:cs="Times New Roman"/>
          <w:strike/>
          <w:szCs w:val="24"/>
          <w:lang w:eastAsia="cs-CZ"/>
        </w:rPr>
        <w:t> </w:t>
      </w:r>
      <w:r w:rsidRPr="006E76B3">
        <w:rPr>
          <w:rFonts w:eastAsia="Arial" w:cs="Times New Roman"/>
          <w:strike/>
          <w:szCs w:val="24"/>
          <w:lang w:eastAsia="cs-CZ"/>
        </w:rPr>
        <w:t>rozhodnutí, může zároveň nařídit, aby ji soud projednal a rozhodl v jiném složení senátu nebo jiným samosoudcem. Z důležitých důvodů může také věc přikázat k projednání a rozhodnutí jinému soudu nebo jinému státnímu zástupci.</w:t>
      </w:r>
    </w:p>
    <w:p w14:paraId="4B79D668" w14:textId="77777777" w:rsidR="0067649C" w:rsidRPr="006E76B3" w:rsidRDefault="0067649C" w:rsidP="0067649C">
      <w:pPr>
        <w:tabs>
          <w:tab w:val="left" w:pos="426"/>
        </w:tabs>
        <w:spacing w:line="240" w:lineRule="auto"/>
        <w:ind w:firstLine="426"/>
        <w:rPr>
          <w:rFonts w:eastAsia="Arial" w:cs="Times New Roman"/>
          <w:b/>
          <w:bCs/>
          <w:szCs w:val="24"/>
          <w:lang w:eastAsia="cs-CZ"/>
        </w:rPr>
      </w:pPr>
      <w:r w:rsidRPr="006E76B3">
        <w:rPr>
          <w:rFonts w:eastAsia="Arial" w:cs="Times New Roman"/>
          <w:b/>
          <w:bCs/>
          <w:szCs w:val="24"/>
          <w:lang w:eastAsia="cs-CZ"/>
        </w:rPr>
        <w:t>(3) Pokud Nejvyšší soud přikazuje věc podle odstavce 1 nebo 2 k novému projednání a</w:t>
      </w:r>
      <w:r>
        <w:rPr>
          <w:rFonts w:eastAsia="Arial" w:cs="Times New Roman"/>
          <w:b/>
          <w:bCs/>
          <w:szCs w:val="24"/>
          <w:lang w:eastAsia="cs-CZ"/>
        </w:rPr>
        <w:t> </w:t>
      </w:r>
      <w:r w:rsidRPr="006E76B3">
        <w:rPr>
          <w:rFonts w:eastAsia="Arial" w:cs="Times New Roman"/>
          <w:b/>
          <w:bCs/>
          <w:szCs w:val="24"/>
          <w:lang w:eastAsia="cs-CZ"/>
        </w:rPr>
        <w:t>rozhodnutí, § 259 odst. 6, § 262 a § 265l odst. 3 věta třetí se použijí přiměřeně.</w:t>
      </w:r>
    </w:p>
    <w:p w14:paraId="1C232156" w14:textId="77777777" w:rsidR="0067649C" w:rsidRDefault="0067649C" w:rsidP="0067649C">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(4) Orgán, jemuž byla věc přikázána, je vázán právním názorem, který vyslovil ve věci Nejvyšší soud, a je povinen provést procesní úkony, jejichž provedení Nejvyšší soud nařídil.</w:t>
      </w:r>
    </w:p>
    <w:p w14:paraId="39330F87" w14:textId="0BB04418" w:rsidR="008B78DF" w:rsidRDefault="008B78DF" w:rsidP="008B78DF">
      <w:pPr>
        <w:tabs>
          <w:tab w:val="left" w:pos="426"/>
        </w:tabs>
        <w:spacing w:line="240" w:lineRule="auto"/>
        <w:jc w:val="center"/>
        <w:rPr>
          <w:rFonts w:eastAsia="Arial" w:cs="Times New Roman"/>
          <w:szCs w:val="24"/>
          <w:lang w:eastAsia="cs-CZ"/>
        </w:rPr>
      </w:pPr>
      <w:r>
        <w:rPr>
          <w:rFonts w:eastAsia="Arial" w:cs="Times New Roman"/>
          <w:szCs w:val="24"/>
          <w:lang w:eastAsia="cs-CZ"/>
        </w:rPr>
        <w:t>§ 306a</w:t>
      </w:r>
    </w:p>
    <w:p w14:paraId="758B41D6" w14:textId="76C638B4" w:rsidR="008B78DF" w:rsidRPr="008B78DF" w:rsidRDefault="008B78DF" w:rsidP="008B78DF">
      <w:pPr>
        <w:tabs>
          <w:tab w:val="left" w:pos="426"/>
        </w:tabs>
        <w:spacing w:line="240" w:lineRule="auto"/>
        <w:rPr>
          <w:rFonts w:eastAsia="Arial" w:cs="Times New Roman"/>
          <w:szCs w:val="24"/>
          <w:lang w:eastAsia="cs-CZ"/>
        </w:rPr>
      </w:pPr>
      <w:r>
        <w:rPr>
          <w:rFonts w:eastAsia="Arial" w:cs="Times New Roman"/>
          <w:szCs w:val="24"/>
          <w:lang w:eastAsia="cs-CZ"/>
        </w:rPr>
        <w:tab/>
      </w:r>
      <w:r w:rsidRPr="008B78DF">
        <w:rPr>
          <w:rFonts w:eastAsia="Arial" w:cs="Times New Roman"/>
          <w:szCs w:val="24"/>
          <w:lang w:eastAsia="cs-CZ"/>
        </w:rPr>
        <w:t>(1) Pominou-li důvody řízení proti uprchlému, pokračuje se v trestním řízení podle obecných ustanovení. Požaduje-li to obviněný, provedou se v řízení před soudem znovu důkazy v předchozím soudním řízení provedené, u nichž to jejich povaha připouští, nebo jejichž opakování nebrání jiná závažná skutečnost; v opačném případě se obviněnému protokoly o</w:t>
      </w:r>
      <w:r w:rsidR="004077A9">
        <w:rPr>
          <w:rFonts w:eastAsia="Arial" w:cs="Times New Roman"/>
          <w:szCs w:val="24"/>
          <w:lang w:eastAsia="cs-CZ"/>
        </w:rPr>
        <w:t> </w:t>
      </w:r>
      <w:r w:rsidRPr="008B78DF">
        <w:rPr>
          <w:rFonts w:eastAsia="Arial" w:cs="Times New Roman"/>
          <w:szCs w:val="24"/>
          <w:lang w:eastAsia="cs-CZ"/>
        </w:rPr>
        <w:t xml:space="preserve">provedení těchto důkazů přečtou nebo se mu přehrají </w:t>
      </w:r>
      <w:r w:rsidRPr="008B0C71">
        <w:rPr>
          <w:rFonts w:eastAsia="Arial" w:cs="Times New Roman"/>
          <w:strike/>
          <w:szCs w:val="24"/>
          <w:lang w:eastAsia="cs-CZ"/>
        </w:rPr>
        <w:t>obrazové a zvukové záznamy pořízené o úkonech provedených prostřednictvím videokonferen</w:t>
      </w:r>
      <w:r w:rsidRPr="008B78DF">
        <w:rPr>
          <w:rFonts w:eastAsia="Arial" w:cs="Times New Roman"/>
          <w:strike/>
          <w:szCs w:val="24"/>
          <w:lang w:eastAsia="cs-CZ"/>
        </w:rPr>
        <w:t>čního zařízení</w:t>
      </w:r>
      <w:r w:rsidRPr="008B78DF">
        <w:rPr>
          <w:rFonts w:eastAsia="Arial" w:cs="Times New Roman"/>
          <w:szCs w:val="24"/>
          <w:lang w:eastAsia="cs-CZ"/>
        </w:rPr>
        <w:t xml:space="preserve"> </w:t>
      </w:r>
      <w:r w:rsidR="008B0C71" w:rsidRPr="008B0C71">
        <w:rPr>
          <w:rFonts w:eastAsia="Arial" w:cs="Times New Roman"/>
          <w:b/>
          <w:bCs/>
          <w:szCs w:val="24"/>
          <w:lang w:eastAsia="cs-CZ"/>
        </w:rPr>
        <w:t xml:space="preserve">záznamy pořízené </w:t>
      </w:r>
      <w:r w:rsidR="008B0C71">
        <w:rPr>
          <w:rFonts w:eastAsia="Arial" w:cs="Times New Roman"/>
          <w:b/>
          <w:bCs/>
          <w:szCs w:val="24"/>
          <w:lang w:eastAsia="cs-CZ"/>
        </w:rPr>
        <w:br/>
      </w:r>
      <w:r w:rsidR="008B0C71" w:rsidRPr="008B0C71">
        <w:rPr>
          <w:rFonts w:eastAsia="Arial" w:cs="Times New Roman"/>
          <w:b/>
          <w:bCs/>
          <w:szCs w:val="24"/>
          <w:lang w:eastAsia="cs-CZ"/>
        </w:rPr>
        <w:t>o úkonech</w:t>
      </w:r>
      <w:r w:rsidR="008B0C71">
        <w:rPr>
          <w:rFonts w:eastAsia="Arial" w:cs="Times New Roman"/>
          <w:i/>
          <w:iCs/>
          <w:szCs w:val="24"/>
          <w:lang w:eastAsia="cs-CZ"/>
        </w:rPr>
        <w:t xml:space="preserve"> </w:t>
      </w:r>
      <w:r w:rsidRPr="008B78DF">
        <w:rPr>
          <w:rFonts w:eastAsia="Arial" w:cs="Times New Roman"/>
          <w:szCs w:val="24"/>
          <w:lang w:eastAsia="cs-CZ"/>
        </w:rPr>
        <w:t>a umožní se mu, aby se k nim vyjádřil.</w:t>
      </w:r>
    </w:p>
    <w:p w14:paraId="7A69A3A1" w14:textId="1CCF89F9" w:rsidR="008B78DF" w:rsidRPr="008B78DF" w:rsidRDefault="008B78DF" w:rsidP="008B78DF">
      <w:pPr>
        <w:tabs>
          <w:tab w:val="left" w:pos="426"/>
        </w:tabs>
        <w:spacing w:line="240" w:lineRule="auto"/>
        <w:rPr>
          <w:rFonts w:eastAsia="Arial" w:cs="Times New Roman"/>
          <w:szCs w:val="24"/>
          <w:lang w:eastAsia="cs-CZ"/>
        </w:rPr>
      </w:pPr>
      <w:r>
        <w:rPr>
          <w:rFonts w:eastAsia="Arial" w:cs="Times New Roman"/>
          <w:szCs w:val="24"/>
          <w:lang w:eastAsia="cs-CZ"/>
        </w:rPr>
        <w:tab/>
      </w:r>
      <w:r w:rsidRPr="008B78DF">
        <w:rPr>
          <w:rFonts w:eastAsia="Arial" w:cs="Times New Roman"/>
          <w:szCs w:val="24"/>
          <w:lang w:eastAsia="cs-CZ"/>
        </w:rPr>
        <w:t>(2) Skončilo-li řízení proti uprchlému pravomocným odsuzujícím rozsudkem a poté pominuly důvody, pro které se řízení proti uprchlému vedlo, na návrh odsouzeného podaný do osmi dnů od doručení rozsudku soud prvního stupně takový rozsudek zruší a v rozsahu stanoveném v odstavci 1 se hlavní líčení provede znovu. O právu navrhnout zrušení pravomocného odsuzujícího rozsudku musí být při doručení rozsudku odsouzený poučen. Přiměřeně soud postupuje, vyžaduje-li to mezinárodní smlouva, jíž je Česká republika vázána.</w:t>
      </w:r>
    </w:p>
    <w:p w14:paraId="41B73F1D" w14:textId="60ECDA9D" w:rsidR="008B78DF" w:rsidRPr="008B78DF" w:rsidRDefault="008B78DF" w:rsidP="008B78DF">
      <w:pPr>
        <w:tabs>
          <w:tab w:val="left" w:pos="426"/>
        </w:tabs>
        <w:spacing w:line="240" w:lineRule="auto"/>
        <w:rPr>
          <w:rFonts w:eastAsia="Arial" w:cs="Times New Roman"/>
          <w:szCs w:val="24"/>
          <w:lang w:eastAsia="cs-CZ"/>
        </w:rPr>
      </w:pPr>
      <w:r>
        <w:rPr>
          <w:rFonts w:eastAsia="Arial" w:cs="Times New Roman"/>
          <w:szCs w:val="24"/>
          <w:lang w:eastAsia="cs-CZ"/>
        </w:rPr>
        <w:tab/>
      </w:r>
      <w:r w:rsidRPr="008B78DF">
        <w:rPr>
          <w:rFonts w:eastAsia="Arial" w:cs="Times New Roman"/>
          <w:szCs w:val="24"/>
          <w:lang w:eastAsia="cs-CZ"/>
        </w:rPr>
        <w:t>(3) Doba od právní moci odsuzujícího rozsudku do jeho zrušení podle odstavce 2 se do promlčecí doby nezapočítává.</w:t>
      </w:r>
    </w:p>
    <w:p w14:paraId="66E70F93" w14:textId="798BABF9" w:rsidR="008B78DF" w:rsidRPr="003E6AE3" w:rsidRDefault="008B78DF" w:rsidP="008B78DF">
      <w:pPr>
        <w:tabs>
          <w:tab w:val="left" w:pos="426"/>
        </w:tabs>
        <w:spacing w:line="240" w:lineRule="auto"/>
        <w:rPr>
          <w:rFonts w:eastAsia="Arial" w:cs="Times New Roman"/>
          <w:szCs w:val="24"/>
          <w:lang w:eastAsia="cs-CZ"/>
        </w:rPr>
      </w:pPr>
      <w:r>
        <w:rPr>
          <w:rFonts w:eastAsia="Arial" w:cs="Times New Roman"/>
          <w:szCs w:val="24"/>
          <w:lang w:eastAsia="cs-CZ"/>
        </w:rPr>
        <w:tab/>
      </w:r>
      <w:r w:rsidRPr="008B78DF">
        <w:rPr>
          <w:rFonts w:eastAsia="Arial" w:cs="Times New Roman"/>
          <w:szCs w:val="24"/>
          <w:lang w:eastAsia="cs-CZ"/>
        </w:rPr>
        <w:t>(4) V novém řízení nemůže dojít ke změně rozhodnutí v neprospěch obviněného.</w:t>
      </w:r>
    </w:p>
    <w:p w14:paraId="3BE29876" w14:textId="673F8573" w:rsidR="005C0D2E" w:rsidRPr="003E6AE3" w:rsidRDefault="005C0D2E"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314q </w:t>
      </w:r>
    </w:p>
    <w:p w14:paraId="7EFFC0C7" w14:textId="5215302D" w:rsidR="005C0D2E" w:rsidRPr="003E6AE3" w:rsidRDefault="005C0D2E"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(1) O návrhu na schválení dohody o vině a trestu a návrhu na provedení záznamu v evidenci skutečností důležitých pro práci s dětmi, byl-li zároveň podán, rozhoduje soud ve společném veřejném zasedání, pokud si rozhodnutí o návrhu na provedení záznamu v takové evidenci nevyhradil do jiného veřejného zasedání. Předseda senátu předvolá k veřejnému zasedání obviněného; o době a místu veřejného zasedání vyrozumí státního zástupce a obhájce obviněného, jakož i poškozeného. Pokud nebylo učiněno prohlášení o záznamu v evidenci skutečností důležitých pro práci s dětmi a provedení záznamu v takové evidenci přichází v</w:t>
      </w:r>
      <w:r w:rsidR="00185CFA" w:rsidRPr="003E6AE3">
        <w:rPr>
          <w:rFonts w:eastAsia="Arial" w:cs="Times New Roman"/>
          <w:szCs w:val="24"/>
          <w:lang w:eastAsia="cs-CZ"/>
        </w:rPr>
        <w:t> </w:t>
      </w:r>
      <w:r w:rsidRPr="003E6AE3">
        <w:rPr>
          <w:rFonts w:eastAsia="Arial" w:cs="Times New Roman"/>
          <w:szCs w:val="24"/>
          <w:lang w:eastAsia="cs-CZ"/>
        </w:rPr>
        <w:t xml:space="preserve">úvahu, předseda senátu na to obviněného a jeho obhájce upozorní, a stanoví obviněnému lhůtu, ve které se k tomu má právo vyjádřit. </w:t>
      </w:r>
      <w:r w:rsidRPr="003E6AE3">
        <w:rPr>
          <w:rFonts w:eastAsia="Arial" w:cs="Times New Roman"/>
          <w:strike/>
          <w:szCs w:val="24"/>
          <w:lang w:eastAsia="cs-CZ"/>
        </w:rPr>
        <w:t>Předseda senátu předvolá k veřejnému zasedání obviněného; o době a místu řízení vyrozumí státního zástupce a obhájce obviněného, jakož i</w:t>
      </w:r>
      <w:r w:rsidR="006E76B3">
        <w:rPr>
          <w:rFonts w:eastAsia="Arial" w:cs="Times New Roman"/>
          <w:strike/>
          <w:szCs w:val="24"/>
          <w:lang w:eastAsia="cs-CZ"/>
        </w:rPr>
        <w:t> </w:t>
      </w:r>
      <w:r w:rsidRPr="003E6AE3">
        <w:rPr>
          <w:rFonts w:eastAsia="Arial" w:cs="Times New Roman"/>
          <w:strike/>
          <w:szCs w:val="24"/>
          <w:lang w:eastAsia="cs-CZ"/>
        </w:rPr>
        <w:t>poškozeného.</w:t>
      </w:r>
      <w:r w:rsidRPr="003E6AE3">
        <w:rPr>
          <w:rFonts w:eastAsia="Arial" w:cs="Times New Roman"/>
          <w:szCs w:val="24"/>
          <w:lang w:eastAsia="cs-CZ"/>
        </w:rPr>
        <w:t xml:space="preserve"> Má-li poškozený zmocněnce, vyrozumí se o veřejném zasedání jen jeho zmocněnec. Spolu se zasláním návrhu na schválení dohody o vině a trestu předseda senátu poškozeného upozorní, že má právo se ve lhůtě, kterou mu stanoví, k návrhu vyjádřit, pokud tak již neučinil při sjednávání dohody o vině a trestu. Veřejné zasedání se koná za stálé přítomnosti obviněného a státního zástupce.</w:t>
      </w:r>
    </w:p>
    <w:p w14:paraId="3493914C" w14:textId="3E17AECE" w:rsidR="005C0D2E" w:rsidRPr="003E6AE3" w:rsidRDefault="005C0D2E"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(2) Po zahájení veřejného zasedání státní zástupce přednese podstatné body návrhu na</w:t>
      </w:r>
      <w:r w:rsidR="006E76B3">
        <w:rPr>
          <w:rFonts w:eastAsia="Arial" w:cs="Times New Roman"/>
          <w:szCs w:val="24"/>
          <w:lang w:eastAsia="cs-CZ"/>
        </w:rPr>
        <w:t> </w:t>
      </w:r>
      <w:r w:rsidRPr="003E6AE3">
        <w:rPr>
          <w:rFonts w:eastAsia="Arial" w:cs="Times New Roman"/>
          <w:szCs w:val="24"/>
          <w:lang w:eastAsia="cs-CZ"/>
        </w:rPr>
        <w:t>schválení dohody o vině a trestu a návrhu na provedení záznamu v evidenci skutečností důležitých pro práci s dětmi, byl-li zároveň podán. Ve zbytku státní zástupce odkáže na písemné vyhotovení návrhů.</w:t>
      </w:r>
    </w:p>
    <w:p w14:paraId="1C39E5F5" w14:textId="446FA199" w:rsidR="005C0D2E" w:rsidRPr="003E6AE3" w:rsidRDefault="005C0D2E"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(3) Po přednesení návrhu na schválení dohody o vině a trestu a návrhu na provedení záznamu v evidenci skutečností důležitých pro práci s dětmi, byl-li zároveň podán, vyzve předseda senátu obviněného, aby se k návrhům vyjádřil, a dotáže se jej, zda</w:t>
      </w:r>
    </w:p>
    <w:p w14:paraId="74379735" w14:textId="77777777" w:rsidR="005C0D2E" w:rsidRPr="003E6AE3" w:rsidRDefault="005C0D2E"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a) rozumí sjednané dohodě o vině a trestu, zejména zda je mu zřejmé, co tvoří podstatu skutku, který se mu klade za vinu, jaká je jeho právní kvalifikace a jaké trestní sazby zákon stanoví za trestný čin, který je v tomto skutku spatřován,</w:t>
      </w:r>
    </w:p>
    <w:p w14:paraId="13B0B6BB" w14:textId="07829C36" w:rsidR="005C0D2E" w:rsidRPr="003E6AE3" w:rsidRDefault="005C0D2E"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b) prohlášení o tom, že spáchal skutek, pro který je stíhán, učinil dobrovolně a bez nátlaku a</w:t>
      </w:r>
      <w:r w:rsidR="006E76B3">
        <w:rPr>
          <w:rFonts w:eastAsia="Arial" w:cs="Times New Roman"/>
          <w:szCs w:val="24"/>
          <w:lang w:eastAsia="cs-CZ"/>
        </w:rPr>
        <w:t> </w:t>
      </w:r>
      <w:r w:rsidRPr="003E6AE3">
        <w:rPr>
          <w:rFonts w:eastAsia="Arial" w:cs="Times New Roman"/>
          <w:szCs w:val="24"/>
          <w:lang w:eastAsia="cs-CZ"/>
        </w:rPr>
        <w:t>byl poučen o svých právech na obhajobu,</w:t>
      </w:r>
    </w:p>
    <w:p w14:paraId="7D5EDBC0" w14:textId="71D41993" w:rsidR="005C0D2E" w:rsidRPr="003E6AE3" w:rsidRDefault="005C0D2E" w:rsidP="008E1253">
      <w:pPr>
        <w:tabs>
          <w:tab w:val="left" w:pos="426"/>
        </w:tabs>
        <w:spacing w:line="240" w:lineRule="auto"/>
        <w:ind w:left="284" w:hanging="284"/>
        <w:rPr>
          <w:rFonts w:eastAsia="Arial" w:cs="Times New Roman"/>
          <w:szCs w:val="24"/>
          <w:lang w:eastAsia="cs-CZ"/>
        </w:rPr>
      </w:pPr>
      <w:r w:rsidRPr="003E6AE3">
        <w:rPr>
          <w:rFonts w:eastAsia="Arial" w:cs="Times New Roman"/>
          <w:szCs w:val="24"/>
          <w:lang w:eastAsia="cs-CZ"/>
        </w:rPr>
        <w:t>c) jsou mu známy všechny důsledky sjednání dohody o vině a trestu, zejména že se vzdává že</w:t>
      </w:r>
      <w:r w:rsidR="006E76B3">
        <w:rPr>
          <w:rFonts w:eastAsia="Arial" w:cs="Times New Roman"/>
          <w:szCs w:val="24"/>
          <w:lang w:eastAsia="cs-CZ"/>
        </w:rPr>
        <w:t> </w:t>
      </w:r>
      <w:r w:rsidRPr="003E6AE3">
        <w:rPr>
          <w:rFonts w:eastAsia="Arial" w:cs="Times New Roman"/>
          <w:szCs w:val="24"/>
          <w:lang w:eastAsia="cs-CZ"/>
        </w:rPr>
        <w:t>podat odvolání může pouze z důvodů uvedených v </w:t>
      </w:r>
      <w:hyperlink r:id="rId60" w:history="1">
        <w:r w:rsidRPr="003E6AE3">
          <w:rPr>
            <w:rStyle w:val="Hypertextovodkaz"/>
            <w:rFonts w:eastAsia="Arial" w:cs="Times New Roman"/>
            <w:color w:val="auto"/>
            <w:szCs w:val="24"/>
            <w:u w:val="none"/>
            <w:lang w:eastAsia="cs-CZ"/>
          </w:rPr>
          <w:t>§ 245 odst. 2</w:t>
        </w:r>
      </w:hyperlink>
      <w:r w:rsidRPr="003E6AE3">
        <w:rPr>
          <w:rFonts w:eastAsia="Arial" w:cs="Times New Roman"/>
          <w:szCs w:val="24"/>
          <w:lang w:eastAsia="cs-CZ"/>
        </w:rPr>
        <w:t>.</w:t>
      </w:r>
    </w:p>
    <w:p w14:paraId="3B216151" w14:textId="44C4A11F" w:rsidR="005C0D2E" w:rsidRPr="003E6AE3" w:rsidRDefault="005C0D2E"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(4) Po vyjádření obviněného umožní soud poškozenému, je-li přítomen, aby se vyjádřil.</w:t>
      </w:r>
    </w:p>
    <w:p w14:paraId="0A9F30FA" w14:textId="60DEC309" w:rsidR="005C0D2E" w:rsidRPr="003E6AE3" w:rsidRDefault="005C0D2E"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(5) Dokazování týkající se skutečností uvedených v dohodě o vině a trestu soud neprovádí. Považuje-li to za potřebné, může vyslechnout obviněného a opatřit potřebná vysvětlení. Soud provede dokazování v rozsahu, který je potřebný pro rozhodnutí o provedení záznamu v</w:t>
      </w:r>
      <w:r w:rsidR="006E76B3">
        <w:rPr>
          <w:rFonts w:eastAsia="Arial" w:cs="Times New Roman"/>
          <w:szCs w:val="24"/>
          <w:lang w:eastAsia="cs-CZ"/>
        </w:rPr>
        <w:t> </w:t>
      </w:r>
      <w:r w:rsidRPr="003E6AE3">
        <w:rPr>
          <w:rFonts w:eastAsia="Arial" w:cs="Times New Roman"/>
          <w:szCs w:val="24"/>
          <w:lang w:eastAsia="cs-CZ"/>
        </w:rPr>
        <w:t>evidenci skutečností důležitých pro práci s dětmi, pokud o tom v dohodě o vině a trestu nebylo učiněno prohlášení a takové rozhodnutí přichází v úvahu. Pokud soud potřebuje k rozhodnutí o</w:t>
      </w:r>
      <w:r w:rsidR="006E76B3">
        <w:rPr>
          <w:rFonts w:eastAsia="Arial" w:cs="Times New Roman"/>
          <w:szCs w:val="24"/>
          <w:lang w:eastAsia="cs-CZ"/>
        </w:rPr>
        <w:t> </w:t>
      </w:r>
      <w:r w:rsidRPr="003E6AE3">
        <w:rPr>
          <w:rFonts w:eastAsia="Arial" w:cs="Times New Roman"/>
          <w:szCs w:val="24"/>
          <w:lang w:eastAsia="cs-CZ"/>
        </w:rPr>
        <w:t>provedení záznamu v takové evidenci provést rozsáhlejší dokazování nebo dokazování, které nemůže provést ihned, vyhradí rozhodnutí o tom do jiného veřejného zasedání.</w:t>
      </w:r>
    </w:p>
    <w:p w14:paraId="2499461C" w14:textId="1109C04A" w:rsidR="005A754D" w:rsidRPr="003E6AE3" w:rsidRDefault="005A754D"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463</w:t>
      </w:r>
    </w:p>
    <w:p w14:paraId="16F597CD" w14:textId="28AA6E2E" w:rsidR="005A754D" w:rsidRPr="003E6AE3" w:rsidRDefault="005A754D"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(1) Na řízení o obnově trestního řízení, které bylo pravomocně skončeno před počátkem účinnosti tohoto zákona, užije se ustanovení tohoto zákona. Podmínky pro povolení obnovy se však v takovém případě posuzují podle zákona, který je pro obviněného příznivější.</w:t>
      </w:r>
    </w:p>
    <w:p w14:paraId="66CD411A" w14:textId="2D519382" w:rsidR="005A754D" w:rsidRPr="003E6AE3" w:rsidRDefault="005A754D" w:rsidP="008E1253">
      <w:pPr>
        <w:tabs>
          <w:tab w:val="left" w:pos="426"/>
        </w:tabs>
        <w:spacing w:line="240" w:lineRule="auto"/>
        <w:ind w:firstLine="426"/>
        <w:rPr>
          <w:rFonts w:eastAsia="Arial" w:cs="Times New Roman"/>
          <w:szCs w:val="24"/>
          <w:lang w:eastAsia="cs-CZ"/>
        </w:rPr>
      </w:pPr>
      <w:r w:rsidRPr="003E6AE3">
        <w:rPr>
          <w:rFonts w:eastAsia="Arial" w:cs="Times New Roman"/>
          <w:szCs w:val="24"/>
          <w:lang w:eastAsia="cs-CZ"/>
        </w:rPr>
        <w:t xml:space="preserve">(2) Jestliže rozhodnutí, proti němuž směřuje návrh na obnovu, vydal v prvním stupni soud již neexistující, rozhoduje o návrhu na obnovu ten soud, který by byl podle tohoto zákona věcně a místně příslušný; jestliže rozhodoval v prvním stupni bývalý státní soud, rozhoduje o návrhu na obnovu krajský </w:t>
      </w:r>
      <w:r w:rsidRPr="003E6AE3">
        <w:rPr>
          <w:rFonts w:eastAsia="Arial" w:cs="Times New Roman"/>
          <w:strike/>
          <w:szCs w:val="24"/>
          <w:lang w:eastAsia="cs-CZ"/>
        </w:rPr>
        <w:t>(vyšší vojenský)</w:t>
      </w:r>
      <w:r w:rsidRPr="003E6AE3">
        <w:rPr>
          <w:rFonts w:eastAsia="Arial" w:cs="Times New Roman"/>
          <w:szCs w:val="24"/>
          <w:lang w:eastAsia="cs-CZ"/>
        </w:rPr>
        <w:t xml:space="preserve"> soud, který by byl podle tohoto zákona ve věci místně příslušný.</w:t>
      </w:r>
    </w:p>
    <w:p w14:paraId="7B38BDA3" w14:textId="4E3D1A38" w:rsidR="00516558" w:rsidRPr="006E76B3" w:rsidRDefault="00516558"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464</w:t>
      </w:r>
    </w:p>
    <w:p w14:paraId="4AD001BD" w14:textId="248FEEEF" w:rsidR="00516558" w:rsidRPr="003E6AE3" w:rsidRDefault="00516558"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(1) Krajský soud je příslušný konat v</w:t>
      </w:r>
      <w:r w:rsidR="008C19D9" w:rsidRPr="003E6AE3">
        <w:rPr>
          <w:rFonts w:eastAsia="Arial" w:cs="Times New Roman"/>
          <w:szCs w:val="24"/>
          <w:lang w:eastAsia="cs-CZ"/>
        </w:rPr>
        <w:t> </w:t>
      </w:r>
      <w:r w:rsidRPr="003E6AE3">
        <w:rPr>
          <w:rFonts w:eastAsia="Arial" w:cs="Times New Roman"/>
          <w:szCs w:val="24"/>
          <w:lang w:eastAsia="cs-CZ"/>
        </w:rPr>
        <w:t>prvním stupni řízení též o činech trestných podle předpisů dříve účinných, které svou povahou a závažností odpovídají trestným činům uvedeným v § 17.</w:t>
      </w:r>
    </w:p>
    <w:p w14:paraId="3AB46313" w14:textId="40CE0AA2" w:rsidR="00516558" w:rsidRPr="003E6AE3" w:rsidRDefault="00516558" w:rsidP="008E1253">
      <w:pPr>
        <w:tabs>
          <w:tab w:val="left" w:pos="426"/>
        </w:tabs>
        <w:spacing w:line="240" w:lineRule="auto"/>
        <w:ind w:firstLine="426"/>
        <w:rPr>
          <w:rFonts w:eastAsia="Arial" w:cs="Times New Roman"/>
          <w:bCs/>
          <w:szCs w:val="24"/>
          <w:lang w:eastAsia="cs-CZ"/>
        </w:rPr>
      </w:pPr>
      <w:r w:rsidRPr="003E6AE3">
        <w:rPr>
          <w:rFonts w:eastAsia="Arial" w:cs="Times New Roman"/>
          <w:szCs w:val="24"/>
          <w:lang w:eastAsia="cs-CZ"/>
        </w:rPr>
        <w:t>(2) Rozhodnutí a opatření týkající se výkonu rozsudků vyhlášených Nejvyšším soudem jako soudem prvního stupně činí krajský soud v</w:t>
      </w:r>
      <w:r w:rsidR="008C19D9" w:rsidRPr="003E6AE3">
        <w:rPr>
          <w:rFonts w:eastAsia="Arial" w:cs="Times New Roman"/>
          <w:szCs w:val="24"/>
          <w:lang w:eastAsia="cs-CZ"/>
        </w:rPr>
        <w:t> </w:t>
      </w:r>
      <w:r w:rsidRPr="003E6AE3">
        <w:rPr>
          <w:rFonts w:eastAsia="Arial" w:cs="Times New Roman"/>
          <w:szCs w:val="24"/>
          <w:lang w:eastAsia="cs-CZ"/>
        </w:rPr>
        <w:t xml:space="preserve">Praze </w:t>
      </w:r>
      <w:r w:rsidRPr="003E6AE3">
        <w:rPr>
          <w:rFonts w:eastAsia="Arial" w:cs="Times New Roman"/>
          <w:strike/>
          <w:szCs w:val="24"/>
          <w:lang w:eastAsia="cs-CZ"/>
        </w:rPr>
        <w:t>a v</w:t>
      </w:r>
      <w:r w:rsidR="008C19D9" w:rsidRPr="003E6AE3">
        <w:rPr>
          <w:rFonts w:eastAsia="Arial" w:cs="Times New Roman"/>
          <w:strike/>
          <w:szCs w:val="24"/>
          <w:lang w:eastAsia="cs-CZ"/>
        </w:rPr>
        <w:t> </w:t>
      </w:r>
      <w:r w:rsidRPr="003E6AE3">
        <w:rPr>
          <w:rFonts w:eastAsia="Arial" w:cs="Times New Roman"/>
          <w:strike/>
          <w:szCs w:val="24"/>
          <w:lang w:eastAsia="cs-CZ"/>
        </w:rPr>
        <w:t>oboru vojenského soudnictví ten vyšší vojenský soud, jejž určí ministr spravedlnosti</w:t>
      </w:r>
      <w:r w:rsidRPr="003E6AE3">
        <w:rPr>
          <w:rFonts w:eastAsia="Arial" w:cs="Times New Roman"/>
          <w:szCs w:val="24"/>
          <w:lang w:eastAsia="cs-CZ"/>
        </w:rPr>
        <w:t>.</w:t>
      </w:r>
    </w:p>
    <w:p w14:paraId="79DE9AE8" w14:textId="4E04C9B1" w:rsidR="00BE5217" w:rsidRPr="006E76B3" w:rsidRDefault="00BE5217" w:rsidP="008E1253">
      <w:pPr>
        <w:keepNext/>
        <w:spacing w:line="240" w:lineRule="auto"/>
        <w:jc w:val="center"/>
        <w:outlineLvl w:val="1"/>
        <w:rPr>
          <w:rFonts w:eastAsia="Arial" w:cs="Times New Roman"/>
          <w:szCs w:val="24"/>
          <w:lang w:eastAsia="cs-CZ"/>
        </w:rPr>
      </w:pPr>
      <w:r w:rsidRPr="003E6AE3">
        <w:rPr>
          <w:rFonts w:eastAsia="Arial" w:cs="Times New Roman"/>
          <w:szCs w:val="24"/>
          <w:lang w:eastAsia="cs-CZ"/>
        </w:rPr>
        <w:t>§ 468</w:t>
      </w:r>
    </w:p>
    <w:p w14:paraId="6BE9C0E5" w14:textId="72F24318" w:rsidR="00BE5217" w:rsidRPr="003E6AE3" w:rsidRDefault="00BE5217" w:rsidP="008E1253">
      <w:pPr>
        <w:tabs>
          <w:tab w:val="left" w:pos="426"/>
        </w:tabs>
        <w:spacing w:line="240" w:lineRule="auto"/>
        <w:ind w:firstLine="426"/>
        <w:rPr>
          <w:rFonts w:eastAsia="Arial" w:cs="Times New Roman"/>
          <w:bCs/>
          <w:szCs w:val="24"/>
          <w:lang w:eastAsia="cs-CZ"/>
        </w:rPr>
      </w:pPr>
      <w:r w:rsidRPr="00A57886">
        <w:rPr>
          <w:rFonts w:eastAsia="Arial" w:cs="Times New Roman"/>
          <w:strike/>
          <w:szCs w:val="24"/>
          <w:lang w:eastAsia="cs-CZ"/>
        </w:rPr>
        <w:t>Ministr</w:t>
      </w:r>
      <w:r w:rsidRPr="00E9139B">
        <w:rPr>
          <w:rFonts w:eastAsia="Arial" w:cs="Times New Roman"/>
          <w:strike/>
          <w:szCs w:val="24"/>
          <w:lang w:eastAsia="cs-CZ"/>
        </w:rPr>
        <w:t xml:space="preserve"> spravedlnosti může</w:t>
      </w:r>
      <w:r w:rsidRPr="003E6AE3">
        <w:rPr>
          <w:rFonts w:eastAsia="Arial" w:cs="Times New Roman"/>
          <w:szCs w:val="24"/>
          <w:lang w:eastAsia="cs-CZ"/>
        </w:rPr>
        <w:t xml:space="preserve"> </w:t>
      </w:r>
      <w:r w:rsidR="00A57886" w:rsidRPr="003E6AE3">
        <w:rPr>
          <w:rFonts w:eastAsia="Arial" w:cs="Times New Roman"/>
          <w:b/>
          <w:bCs/>
          <w:szCs w:val="24"/>
          <w:lang w:eastAsia="cs-CZ"/>
        </w:rPr>
        <w:t>Ministerstvo</w:t>
      </w:r>
      <w:r w:rsidR="00A57886">
        <w:rPr>
          <w:rFonts w:eastAsia="Arial" w:cs="Times New Roman"/>
          <w:b/>
          <w:bCs/>
          <w:szCs w:val="24"/>
          <w:lang w:eastAsia="cs-CZ"/>
        </w:rPr>
        <w:t xml:space="preserve"> </w:t>
      </w:r>
      <w:r w:rsidR="00A57886" w:rsidRPr="00E9139B">
        <w:rPr>
          <w:rFonts w:eastAsia="Arial" w:cs="Times New Roman"/>
          <w:b/>
          <w:bCs/>
          <w:szCs w:val="24"/>
          <w:lang w:eastAsia="cs-CZ"/>
        </w:rPr>
        <w:t>spravedlnosti může vyhláškou</w:t>
      </w:r>
      <w:r w:rsidR="00A57886" w:rsidRPr="003E6AE3">
        <w:rPr>
          <w:rFonts w:eastAsia="Arial" w:cs="Times New Roman"/>
          <w:b/>
          <w:bCs/>
          <w:szCs w:val="24"/>
          <w:lang w:eastAsia="cs-CZ"/>
        </w:rPr>
        <w:t xml:space="preserve"> </w:t>
      </w:r>
      <w:r w:rsidRPr="003E6AE3">
        <w:rPr>
          <w:rFonts w:eastAsia="Arial" w:cs="Times New Roman"/>
          <w:szCs w:val="24"/>
          <w:lang w:eastAsia="cs-CZ"/>
        </w:rPr>
        <w:t xml:space="preserve">stanovit, které jednoduché úkony svěřené podle tohoto zákona předsedovi senátu může vykonávat jiný </w:t>
      </w:r>
      <w:r w:rsidRPr="007C25BB">
        <w:rPr>
          <w:rFonts w:eastAsia="Arial" w:cs="Times New Roman"/>
          <w:strike/>
          <w:szCs w:val="24"/>
          <w:lang w:eastAsia="cs-CZ"/>
        </w:rPr>
        <w:t>pracovník</w:t>
      </w:r>
      <w:r w:rsidRPr="003E6AE3">
        <w:rPr>
          <w:rFonts w:eastAsia="Arial" w:cs="Times New Roman"/>
          <w:szCs w:val="24"/>
          <w:lang w:eastAsia="cs-CZ"/>
        </w:rPr>
        <w:t xml:space="preserve"> </w:t>
      </w:r>
      <w:r w:rsidR="007C25BB">
        <w:rPr>
          <w:rFonts w:eastAsia="Arial" w:cs="Times New Roman"/>
          <w:b/>
          <w:bCs/>
          <w:szCs w:val="24"/>
          <w:lang w:eastAsia="cs-CZ"/>
        </w:rPr>
        <w:t xml:space="preserve">zaměstnanec </w:t>
      </w:r>
      <w:r w:rsidRPr="003E6AE3">
        <w:rPr>
          <w:rFonts w:eastAsia="Arial" w:cs="Times New Roman"/>
          <w:szCs w:val="24"/>
          <w:lang w:eastAsia="cs-CZ"/>
        </w:rPr>
        <w:t>soudu.</w:t>
      </w:r>
    </w:p>
    <w:p w14:paraId="7078587B" w14:textId="77777777" w:rsidR="008C19D9" w:rsidRPr="003E6AE3" w:rsidRDefault="008C19D9" w:rsidP="008E1253">
      <w:pPr>
        <w:tabs>
          <w:tab w:val="left" w:pos="426"/>
        </w:tabs>
        <w:spacing w:line="240" w:lineRule="auto"/>
        <w:jc w:val="center"/>
        <w:rPr>
          <w:rFonts w:eastAsia="Arial" w:cs="Times New Roman"/>
          <w:b/>
          <w:szCs w:val="24"/>
          <w:lang w:eastAsia="cs-CZ"/>
        </w:rPr>
      </w:pPr>
    </w:p>
    <w:sectPr w:rsidR="008C19D9" w:rsidRPr="003E6AE3">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E365" w14:textId="77777777" w:rsidR="00C90158" w:rsidRDefault="00C90158" w:rsidP="00491540">
      <w:pPr>
        <w:spacing w:before="0" w:line="240" w:lineRule="auto"/>
      </w:pPr>
      <w:r>
        <w:separator/>
      </w:r>
    </w:p>
  </w:endnote>
  <w:endnote w:type="continuationSeparator" w:id="0">
    <w:p w14:paraId="2BCAA82D" w14:textId="77777777" w:rsidR="00C90158" w:rsidRDefault="00C90158" w:rsidP="004915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815068"/>
      <w:docPartObj>
        <w:docPartGallery w:val="Page Numbers (Bottom of Page)"/>
        <w:docPartUnique/>
      </w:docPartObj>
    </w:sdtPr>
    <w:sdtEndPr/>
    <w:sdtContent>
      <w:p w14:paraId="73B26099" w14:textId="71CF86BC" w:rsidR="00491540" w:rsidRDefault="00491540">
        <w:pPr>
          <w:pStyle w:val="Zpat"/>
          <w:jc w:val="center"/>
        </w:pPr>
        <w:r>
          <w:fldChar w:fldCharType="begin"/>
        </w:r>
        <w:r>
          <w:instrText>PAGE   \* MERGEFORMAT</w:instrText>
        </w:r>
        <w:r>
          <w:fldChar w:fldCharType="separate"/>
        </w:r>
        <w:r>
          <w:t>2</w:t>
        </w:r>
        <w:r>
          <w:fldChar w:fldCharType="end"/>
        </w:r>
      </w:p>
    </w:sdtContent>
  </w:sdt>
  <w:p w14:paraId="2D7A744F" w14:textId="77777777" w:rsidR="00491540" w:rsidRDefault="004915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F474B" w14:textId="77777777" w:rsidR="00C90158" w:rsidRDefault="00C90158" w:rsidP="00491540">
      <w:pPr>
        <w:spacing w:before="0" w:line="240" w:lineRule="auto"/>
      </w:pPr>
      <w:r>
        <w:separator/>
      </w:r>
    </w:p>
  </w:footnote>
  <w:footnote w:type="continuationSeparator" w:id="0">
    <w:p w14:paraId="6173EC1B" w14:textId="77777777" w:rsidR="00C90158" w:rsidRDefault="00C90158" w:rsidP="0049154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31D7"/>
    <w:multiLevelType w:val="hybridMultilevel"/>
    <w:tmpl w:val="167E4638"/>
    <w:lvl w:ilvl="0" w:tplc="8C92477E">
      <w:start w:val="1"/>
      <w:numFmt w:val="decimal"/>
      <w:lvlText w:val="(%1)"/>
      <w:lvlJc w:val="left"/>
      <w:pPr>
        <w:ind w:left="810" w:hanging="384"/>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31826A4"/>
    <w:multiLevelType w:val="hybridMultilevel"/>
    <w:tmpl w:val="060C42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1C152F2"/>
    <w:multiLevelType w:val="hybridMultilevel"/>
    <w:tmpl w:val="AAC83F2C"/>
    <w:lvl w:ilvl="0" w:tplc="021070DC">
      <w:start w:val="1"/>
      <w:numFmt w:val="decimal"/>
      <w:lvlText w:val="%1."/>
      <w:lvlJc w:val="left"/>
      <w:pPr>
        <w:ind w:left="360" w:hanging="360"/>
      </w:pPr>
      <w:rPr>
        <w:rFonts w:ascii="Times New Roman" w:eastAsia="Times New Roman" w:hAnsi="Times New Roman" w:cs="Times New Roman"/>
        <w:b w:val="0"/>
        <w:bCs/>
        <w:sz w:val="24"/>
      </w:rPr>
    </w:lvl>
    <w:lvl w:ilvl="1" w:tplc="FFFFFFFF" w:tentative="1">
      <w:start w:val="1"/>
      <w:numFmt w:val="lowerLetter"/>
      <w:lvlText w:val="%2."/>
      <w:lvlJc w:val="left"/>
      <w:pPr>
        <w:ind w:left="-1396" w:hanging="360"/>
      </w:pPr>
    </w:lvl>
    <w:lvl w:ilvl="2" w:tplc="FFFFFFFF" w:tentative="1">
      <w:start w:val="1"/>
      <w:numFmt w:val="lowerRoman"/>
      <w:lvlText w:val="%3."/>
      <w:lvlJc w:val="right"/>
      <w:pPr>
        <w:ind w:left="-676" w:hanging="180"/>
      </w:pPr>
    </w:lvl>
    <w:lvl w:ilvl="3" w:tplc="FFFFFFFF" w:tentative="1">
      <w:start w:val="1"/>
      <w:numFmt w:val="decimal"/>
      <w:lvlText w:val="%4."/>
      <w:lvlJc w:val="left"/>
      <w:pPr>
        <w:ind w:left="44" w:hanging="360"/>
      </w:pPr>
    </w:lvl>
    <w:lvl w:ilvl="4" w:tplc="FFFFFFFF" w:tentative="1">
      <w:start w:val="1"/>
      <w:numFmt w:val="lowerLetter"/>
      <w:lvlText w:val="%5."/>
      <w:lvlJc w:val="left"/>
      <w:pPr>
        <w:ind w:left="764" w:hanging="360"/>
      </w:pPr>
    </w:lvl>
    <w:lvl w:ilvl="5" w:tplc="FFFFFFFF" w:tentative="1">
      <w:start w:val="1"/>
      <w:numFmt w:val="lowerRoman"/>
      <w:lvlText w:val="%6."/>
      <w:lvlJc w:val="right"/>
      <w:pPr>
        <w:ind w:left="1484" w:hanging="180"/>
      </w:pPr>
    </w:lvl>
    <w:lvl w:ilvl="6" w:tplc="FFFFFFFF" w:tentative="1">
      <w:start w:val="1"/>
      <w:numFmt w:val="decimal"/>
      <w:lvlText w:val="%7."/>
      <w:lvlJc w:val="left"/>
      <w:pPr>
        <w:ind w:left="2204" w:hanging="360"/>
      </w:pPr>
    </w:lvl>
    <w:lvl w:ilvl="7" w:tplc="FFFFFFFF" w:tentative="1">
      <w:start w:val="1"/>
      <w:numFmt w:val="lowerLetter"/>
      <w:lvlText w:val="%8."/>
      <w:lvlJc w:val="left"/>
      <w:pPr>
        <w:ind w:left="2924" w:hanging="360"/>
      </w:pPr>
    </w:lvl>
    <w:lvl w:ilvl="8" w:tplc="FFFFFFFF" w:tentative="1">
      <w:start w:val="1"/>
      <w:numFmt w:val="lowerRoman"/>
      <w:lvlText w:val="%9."/>
      <w:lvlJc w:val="right"/>
      <w:pPr>
        <w:ind w:left="3644" w:hanging="180"/>
      </w:pPr>
    </w:lvl>
  </w:abstractNum>
  <w:num w:numId="1" w16cid:durableId="236944810">
    <w:abstractNumId w:val="1"/>
  </w:num>
  <w:num w:numId="2" w16cid:durableId="1115179752">
    <w:abstractNumId w:val="2"/>
  </w:num>
  <w:num w:numId="3" w16cid:durableId="639457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E7"/>
    <w:rsid w:val="00000700"/>
    <w:rsid w:val="0001199F"/>
    <w:rsid w:val="000153DB"/>
    <w:rsid w:val="0001575C"/>
    <w:rsid w:val="0002501B"/>
    <w:rsid w:val="00025CA3"/>
    <w:rsid w:val="00027EB4"/>
    <w:rsid w:val="000300F9"/>
    <w:rsid w:val="0007582E"/>
    <w:rsid w:val="000779ED"/>
    <w:rsid w:val="000803F5"/>
    <w:rsid w:val="00080FE8"/>
    <w:rsid w:val="00085815"/>
    <w:rsid w:val="00096ACD"/>
    <w:rsid w:val="000D022A"/>
    <w:rsid w:val="000E3C51"/>
    <w:rsid w:val="000F779E"/>
    <w:rsid w:val="00120F3A"/>
    <w:rsid w:val="00123ECA"/>
    <w:rsid w:val="00127919"/>
    <w:rsid w:val="00137538"/>
    <w:rsid w:val="00145646"/>
    <w:rsid w:val="001456EC"/>
    <w:rsid w:val="00164462"/>
    <w:rsid w:val="00177B35"/>
    <w:rsid w:val="00181B4E"/>
    <w:rsid w:val="00184F42"/>
    <w:rsid w:val="00185CFA"/>
    <w:rsid w:val="001A366C"/>
    <w:rsid w:val="001B5FE9"/>
    <w:rsid w:val="001B62CD"/>
    <w:rsid w:val="001C1354"/>
    <w:rsid w:val="001C2265"/>
    <w:rsid w:val="001D4A40"/>
    <w:rsid w:val="001D55F2"/>
    <w:rsid w:val="001F68FC"/>
    <w:rsid w:val="002045D2"/>
    <w:rsid w:val="00207E01"/>
    <w:rsid w:val="00211FC1"/>
    <w:rsid w:val="00213FAF"/>
    <w:rsid w:val="0022392C"/>
    <w:rsid w:val="002439DF"/>
    <w:rsid w:val="002447D3"/>
    <w:rsid w:val="00244FC5"/>
    <w:rsid w:val="002464C7"/>
    <w:rsid w:val="0026524C"/>
    <w:rsid w:val="0027186C"/>
    <w:rsid w:val="00277759"/>
    <w:rsid w:val="00281527"/>
    <w:rsid w:val="00284D59"/>
    <w:rsid w:val="002863EB"/>
    <w:rsid w:val="00293FED"/>
    <w:rsid w:val="002B2A23"/>
    <w:rsid w:val="002C0360"/>
    <w:rsid w:val="002C4F90"/>
    <w:rsid w:val="002D004B"/>
    <w:rsid w:val="002E10FE"/>
    <w:rsid w:val="002E33E8"/>
    <w:rsid w:val="002E4562"/>
    <w:rsid w:val="002E7389"/>
    <w:rsid w:val="00303BA8"/>
    <w:rsid w:val="00303DA7"/>
    <w:rsid w:val="00311E12"/>
    <w:rsid w:val="0031430A"/>
    <w:rsid w:val="00314947"/>
    <w:rsid w:val="00315693"/>
    <w:rsid w:val="00325A81"/>
    <w:rsid w:val="00330F6F"/>
    <w:rsid w:val="0033220F"/>
    <w:rsid w:val="00336E10"/>
    <w:rsid w:val="0034551A"/>
    <w:rsid w:val="003501A1"/>
    <w:rsid w:val="003542F3"/>
    <w:rsid w:val="00355CA7"/>
    <w:rsid w:val="00365453"/>
    <w:rsid w:val="00373B0F"/>
    <w:rsid w:val="00377D9C"/>
    <w:rsid w:val="003823EC"/>
    <w:rsid w:val="00392D37"/>
    <w:rsid w:val="00396A8E"/>
    <w:rsid w:val="003B1A9F"/>
    <w:rsid w:val="003B1EAB"/>
    <w:rsid w:val="003C3544"/>
    <w:rsid w:val="003C6DF9"/>
    <w:rsid w:val="003D513B"/>
    <w:rsid w:val="003E6AE3"/>
    <w:rsid w:val="00403442"/>
    <w:rsid w:val="004077A9"/>
    <w:rsid w:val="00412629"/>
    <w:rsid w:val="00412ACF"/>
    <w:rsid w:val="00430272"/>
    <w:rsid w:val="004467D0"/>
    <w:rsid w:val="00452660"/>
    <w:rsid w:val="0045315A"/>
    <w:rsid w:val="00454148"/>
    <w:rsid w:val="00464511"/>
    <w:rsid w:val="004659B7"/>
    <w:rsid w:val="00475435"/>
    <w:rsid w:val="00491540"/>
    <w:rsid w:val="004934A8"/>
    <w:rsid w:val="004A268E"/>
    <w:rsid w:val="004C5DF0"/>
    <w:rsid w:val="004C65BE"/>
    <w:rsid w:val="004D2BDE"/>
    <w:rsid w:val="004D3CFC"/>
    <w:rsid w:val="004D4A3A"/>
    <w:rsid w:val="004E29CD"/>
    <w:rsid w:val="004E5475"/>
    <w:rsid w:val="004F172B"/>
    <w:rsid w:val="004F3619"/>
    <w:rsid w:val="004F7A2D"/>
    <w:rsid w:val="00502535"/>
    <w:rsid w:val="0051033B"/>
    <w:rsid w:val="00514D40"/>
    <w:rsid w:val="00516558"/>
    <w:rsid w:val="00531C46"/>
    <w:rsid w:val="0053221A"/>
    <w:rsid w:val="00532B2F"/>
    <w:rsid w:val="005518C5"/>
    <w:rsid w:val="0055430A"/>
    <w:rsid w:val="005612C0"/>
    <w:rsid w:val="00562E9B"/>
    <w:rsid w:val="005632F4"/>
    <w:rsid w:val="005806C9"/>
    <w:rsid w:val="005820DE"/>
    <w:rsid w:val="00587A21"/>
    <w:rsid w:val="005A0FE5"/>
    <w:rsid w:val="005A1BE9"/>
    <w:rsid w:val="005A754D"/>
    <w:rsid w:val="005C0D2E"/>
    <w:rsid w:val="005C101A"/>
    <w:rsid w:val="005C60F2"/>
    <w:rsid w:val="005C7940"/>
    <w:rsid w:val="005D0EFB"/>
    <w:rsid w:val="005E1DB7"/>
    <w:rsid w:val="005E4F76"/>
    <w:rsid w:val="005F1755"/>
    <w:rsid w:val="006026E6"/>
    <w:rsid w:val="00611B0B"/>
    <w:rsid w:val="006127CD"/>
    <w:rsid w:val="00633FF6"/>
    <w:rsid w:val="00641051"/>
    <w:rsid w:val="00643CE7"/>
    <w:rsid w:val="00647CFB"/>
    <w:rsid w:val="00667C83"/>
    <w:rsid w:val="006755F5"/>
    <w:rsid w:val="0067649C"/>
    <w:rsid w:val="00683CA4"/>
    <w:rsid w:val="00686611"/>
    <w:rsid w:val="006A1FF3"/>
    <w:rsid w:val="006A2DE9"/>
    <w:rsid w:val="006A781A"/>
    <w:rsid w:val="006C2A71"/>
    <w:rsid w:val="006C4FED"/>
    <w:rsid w:val="006C6795"/>
    <w:rsid w:val="006C77F9"/>
    <w:rsid w:val="006D3565"/>
    <w:rsid w:val="006E0902"/>
    <w:rsid w:val="006E76B3"/>
    <w:rsid w:val="006F202A"/>
    <w:rsid w:val="006F2AD5"/>
    <w:rsid w:val="0070390A"/>
    <w:rsid w:val="00703988"/>
    <w:rsid w:val="00706CCE"/>
    <w:rsid w:val="00712634"/>
    <w:rsid w:val="00713455"/>
    <w:rsid w:val="007209BF"/>
    <w:rsid w:val="00723E28"/>
    <w:rsid w:val="00733A9C"/>
    <w:rsid w:val="007402B2"/>
    <w:rsid w:val="00742B29"/>
    <w:rsid w:val="00751CE3"/>
    <w:rsid w:val="00752306"/>
    <w:rsid w:val="0076044D"/>
    <w:rsid w:val="00761FB6"/>
    <w:rsid w:val="00771677"/>
    <w:rsid w:val="007726CC"/>
    <w:rsid w:val="007835CA"/>
    <w:rsid w:val="00792D0F"/>
    <w:rsid w:val="00794057"/>
    <w:rsid w:val="007A3A88"/>
    <w:rsid w:val="007A5140"/>
    <w:rsid w:val="007B319B"/>
    <w:rsid w:val="007B7652"/>
    <w:rsid w:val="007C25BB"/>
    <w:rsid w:val="007C52D1"/>
    <w:rsid w:val="007C5839"/>
    <w:rsid w:val="007E33C2"/>
    <w:rsid w:val="00807108"/>
    <w:rsid w:val="008105C5"/>
    <w:rsid w:val="00820F41"/>
    <w:rsid w:val="0083493B"/>
    <w:rsid w:val="00837380"/>
    <w:rsid w:val="008509F7"/>
    <w:rsid w:val="00853666"/>
    <w:rsid w:val="00854731"/>
    <w:rsid w:val="0087398F"/>
    <w:rsid w:val="00875B18"/>
    <w:rsid w:val="00880A38"/>
    <w:rsid w:val="00881D11"/>
    <w:rsid w:val="00895B13"/>
    <w:rsid w:val="00897766"/>
    <w:rsid w:val="008A26C8"/>
    <w:rsid w:val="008A3158"/>
    <w:rsid w:val="008B0C71"/>
    <w:rsid w:val="008B78DF"/>
    <w:rsid w:val="008C19D9"/>
    <w:rsid w:val="008C1DBC"/>
    <w:rsid w:val="008C7364"/>
    <w:rsid w:val="008E1253"/>
    <w:rsid w:val="008E2E2A"/>
    <w:rsid w:val="008E5A34"/>
    <w:rsid w:val="008E6D22"/>
    <w:rsid w:val="008F44E6"/>
    <w:rsid w:val="008F7B9A"/>
    <w:rsid w:val="0090024A"/>
    <w:rsid w:val="00902E63"/>
    <w:rsid w:val="009044AA"/>
    <w:rsid w:val="00925F2E"/>
    <w:rsid w:val="00934995"/>
    <w:rsid w:val="00935161"/>
    <w:rsid w:val="009422AC"/>
    <w:rsid w:val="009436F3"/>
    <w:rsid w:val="0095165D"/>
    <w:rsid w:val="009579DC"/>
    <w:rsid w:val="00957A4B"/>
    <w:rsid w:val="00963912"/>
    <w:rsid w:val="00971CDE"/>
    <w:rsid w:val="00977811"/>
    <w:rsid w:val="00981870"/>
    <w:rsid w:val="00993CD6"/>
    <w:rsid w:val="00995857"/>
    <w:rsid w:val="009B0AAF"/>
    <w:rsid w:val="009B44F4"/>
    <w:rsid w:val="009C5C61"/>
    <w:rsid w:val="009C60EF"/>
    <w:rsid w:val="009D4D4E"/>
    <w:rsid w:val="009F2FC1"/>
    <w:rsid w:val="009F7E00"/>
    <w:rsid w:val="00A01F31"/>
    <w:rsid w:val="00A069F8"/>
    <w:rsid w:val="00A119D8"/>
    <w:rsid w:val="00A2188C"/>
    <w:rsid w:val="00A32732"/>
    <w:rsid w:val="00A41308"/>
    <w:rsid w:val="00A41CB0"/>
    <w:rsid w:val="00A42D1C"/>
    <w:rsid w:val="00A47E63"/>
    <w:rsid w:val="00A5684E"/>
    <w:rsid w:val="00A56896"/>
    <w:rsid w:val="00A57886"/>
    <w:rsid w:val="00A626C6"/>
    <w:rsid w:val="00A639FD"/>
    <w:rsid w:val="00A77760"/>
    <w:rsid w:val="00A81B18"/>
    <w:rsid w:val="00A86F05"/>
    <w:rsid w:val="00A90170"/>
    <w:rsid w:val="00A91F3C"/>
    <w:rsid w:val="00AB1A1E"/>
    <w:rsid w:val="00AB491D"/>
    <w:rsid w:val="00AC0337"/>
    <w:rsid w:val="00AC1A19"/>
    <w:rsid w:val="00AC4DA0"/>
    <w:rsid w:val="00AD4C21"/>
    <w:rsid w:val="00AD71C0"/>
    <w:rsid w:val="00AE04EE"/>
    <w:rsid w:val="00B06B5E"/>
    <w:rsid w:val="00B10EC0"/>
    <w:rsid w:val="00B10F00"/>
    <w:rsid w:val="00B149D2"/>
    <w:rsid w:val="00B231CE"/>
    <w:rsid w:val="00B374B8"/>
    <w:rsid w:val="00B615A8"/>
    <w:rsid w:val="00B71AA3"/>
    <w:rsid w:val="00B76784"/>
    <w:rsid w:val="00B77773"/>
    <w:rsid w:val="00B96CE6"/>
    <w:rsid w:val="00BA61E3"/>
    <w:rsid w:val="00BB3E6C"/>
    <w:rsid w:val="00BC6D03"/>
    <w:rsid w:val="00BD13E6"/>
    <w:rsid w:val="00BE5217"/>
    <w:rsid w:val="00BE6D67"/>
    <w:rsid w:val="00BE6F64"/>
    <w:rsid w:val="00BF14B1"/>
    <w:rsid w:val="00C01126"/>
    <w:rsid w:val="00C12921"/>
    <w:rsid w:val="00C2030C"/>
    <w:rsid w:val="00C21786"/>
    <w:rsid w:val="00C22B59"/>
    <w:rsid w:val="00C36E8B"/>
    <w:rsid w:val="00C412B2"/>
    <w:rsid w:val="00C60D32"/>
    <w:rsid w:val="00C7216E"/>
    <w:rsid w:val="00C75634"/>
    <w:rsid w:val="00C82CE7"/>
    <w:rsid w:val="00C90158"/>
    <w:rsid w:val="00CA46D3"/>
    <w:rsid w:val="00CB56B4"/>
    <w:rsid w:val="00CB6BD4"/>
    <w:rsid w:val="00CB7850"/>
    <w:rsid w:val="00CC4A3B"/>
    <w:rsid w:val="00CD2386"/>
    <w:rsid w:val="00CD66FF"/>
    <w:rsid w:val="00CF6E7C"/>
    <w:rsid w:val="00D03A6B"/>
    <w:rsid w:val="00D04264"/>
    <w:rsid w:val="00D22270"/>
    <w:rsid w:val="00D34AC9"/>
    <w:rsid w:val="00D46163"/>
    <w:rsid w:val="00D51E28"/>
    <w:rsid w:val="00D573AE"/>
    <w:rsid w:val="00D65377"/>
    <w:rsid w:val="00D7469C"/>
    <w:rsid w:val="00D7536F"/>
    <w:rsid w:val="00D77055"/>
    <w:rsid w:val="00DA2554"/>
    <w:rsid w:val="00DB0420"/>
    <w:rsid w:val="00DC3EB6"/>
    <w:rsid w:val="00DC4B9F"/>
    <w:rsid w:val="00DD19C0"/>
    <w:rsid w:val="00DE294A"/>
    <w:rsid w:val="00DE3303"/>
    <w:rsid w:val="00DF27AF"/>
    <w:rsid w:val="00DF4060"/>
    <w:rsid w:val="00DF51AD"/>
    <w:rsid w:val="00DF5613"/>
    <w:rsid w:val="00E0050A"/>
    <w:rsid w:val="00E0164A"/>
    <w:rsid w:val="00E10757"/>
    <w:rsid w:val="00E11FAE"/>
    <w:rsid w:val="00E175EC"/>
    <w:rsid w:val="00E20560"/>
    <w:rsid w:val="00E20CA2"/>
    <w:rsid w:val="00E20DA5"/>
    <w:rsid w:val="00E237B1"/>
    <w:rsid w:val="00E328E3"/>
    <w:rsid w:val="00E45958"/>
    <w:rsid w:val="00E5435F"/>
    <w:rsid w:val="00E64992"/>
    <w:rsid w:val="00E6717F"/>
    <w:rsid w:val="00E83008"/>
    <w:rsid w:val="00E8599F"/>
    <w:rsid w:val="00E864D4"/>
    <w:rsid w:val="00E9139B"/>
    <w:rsid w:val="00E93C57"/>
    <w:rsid w:val="00E96AFE"/>
    <w:rsid w:val="00EA1B00"/>
    <w:rsid w:val="00EB072F"/>
    <w:rsid w:val="00EB2AE0"/>
    <w:rsid w:val="00EE1DDF"/>
    <w:rsid w:val="00EF028E"/>
    <w:rsid w:val="00EF12D1"/>
    <w:rsid w:val="00EF4B9B"/>
    <w:rsid w:val="00F05D05"/>
    <w:rsid w:val="00F07896"/>
    <w:rsid w:val="00F110EF"/>
    <w:rsid w:val="00F12758"/>
    <w:rsid w:val="00F1371B"/>
    <w:rsid w:val="00F13B27"/>
    <w:rsid w:val="00F21FE4"/>
    <w:rsid w:val="00F301E3"/>
    <w:rsid w:val="00F477DF"/>
    <w:rsid w:val="00F56566"/>
    <w:rsid w:val="00F5798B"/>
    <w:rsid w:val="00F65B30"/>
    <w:rsid w:val="00F72FCE"/>
    <w:rsid w:val="00F81115"/>
    <w:rsid w:val="00F92BC3"/>
    <w:rsid w:val="00F9689D"/>
    <w:rsid w:val="00F96CFF"/>
    <w:rsid w:val="00FA4D21"/>
    <w:rsid w:val="00FC1D3C"/>
    <w:rsid w:val="00FC6049"/>
    <w:rsid w:val="00FD189F"/>
    <w:rsid w:val="00FD36B2"/>
    <w:rsid w:val="00FD378B"/>
    <w:rsid w:val="00FD7DBE"/>
    <w:rsid w:val="00FE35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E042"/>
  <w15:chartTrackingRefBased/>
  <w15:docId w15:val="{C373AF73-C399-47E4-908E-B013F486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43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643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43C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43C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643CE7"/>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643CE7"/>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643CE7"/>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643CE7"/>
    <w:pPr>
      <w:keepNext/>
      <w:keepLines/>
      <w:spacing w:before="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643CE7"/>
    <w:pPr>
      <w:keepNext/>
      <w:keepLines/>
      <w:spacing w:before="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43CE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643CE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43CE7"/>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43CE7"/>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643CE7"/>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643CE7"/>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643CE7"/>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643CE7"/>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643CE7"/>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643CE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43CE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43C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43CE7"/>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643CE7"/>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643CE7"/>
    <w:rPr>
      <w:i/>
      <w:iCs/>
      <w:color w:val="404040" w:themeColor="text1" w:themeTint="BF"/>
    </w:rPr>
  </w:style>
  <w:style w:type="paragraph" w:styleId="Odstavecseseznamem">
    <w:name w:val="List Paragraph"/>
    <w:basedOn w:val="Normln"/>
    <w:uiPriority w:val="34"/>
    <w:qFormat/>
    <w:rsid w:val="00643CE7"/>
    <w:pPr>
      <w:ind w:left="720"/>
      <w:contextualSpacing/>
    </w:pPr>
  </w:style>
  <w:style w:type="character" w:styleId="Zdraznnintenzivn">
    <w:name w:val="Intense Emphasis"/>
    <w:basedOn w:val="Standardnpsmoodstavce"/>
    <w:uiPriority w:val="21"/>
    <w:qFormat/>
    <w:rsid w:val="00643CE7"/>
    <w:rPr>
      <w:i/>
      <w:iCs/>
      <w:color w:val="0F4761" w:themeColor="accent1" w:themeShade="BF"/>
    </w:rPr>
  </w:style>
  <w:style w:type="paragraph" w:styleId="Vrazncitt">
    <w:name w:val="Intense Quote"/>
    <w:basedOn w:val="Normln"/>
    <w:next w:val="Normln"/>
    <w:link w:val="VrazncittChar"/>
    <w:uiPriority w:val="30"/>
    <w:qFormat/>
    <w:rsid w:val="00643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43CE7"/>
    <w:rPr>
      <w:i/>
      <w:iCs/>
      <w:color w:val="0F4761" w:themeColor="accent1" w:themeShade="BF"/>
    </w:rPr>
  </w:style>
  <w:style w:type="character" w:styleId="Odkazintenzivn">
    <w:name w:val="Intense Reference"/>
    <w:basedOn w:val="Standardnpsmoodstavce"/>
    <w:uiPriority w:val="32"/>
    <w:qFormat/>
    <w:rsid w:val="00643CE7"/>
    <w:rPr>
      <w:b/>
      <w:bCs/>
      <w:smallCaps/>
      <w:color w:val="0F4761" w:themeColor="accent1" w:themeShade="BF"/>
      <w:spacing w:val="5"/>
    </w:rPr>
  </w:style>
  <w:style w:type="paragraph" w:styleId="Zhlav">
    <w:name w:val="header"/>
    <w:basedOn w:val="Normln"/>
    <w:link w:val="ZhlavChar"/>
    <w:uiPriority w:val="99"/>
    <w:unhideWhenUsed/>
    <w:rsid w:val="00491540"/>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491540"/>
  </w:style>
  <w:style w:type="paragraph" w:styleId="Zpat">
    <w:name w:val="footer"/>
    <w:basedOn w:val="Normln"/>
    <w:link w:val="ZpatChar"/>
    <w:uiPriority w:val="99"/>
    <w:unhideWhenUsed/>
    <w:rsid w:val="00491540"/>
    <w:pPr>
      <w:tabs>
        <w:tab w:val="center" w:pos="4536"/>
        <w:tab w:val="right" w:pos="9072"/>
      </w:tabs>
      <w:spacing w:before="0" w:line="240" w:lineRule="auto"/>
    </w:pPr>
  </w:style>
  <w:style w:type="character" w:customStyle="1" w:styleId="ZpatChar">
    <w:name w:val="Zápatí Char"/>
    <w:basedOn w:val="Standardnpsmoodstavce"/>
    <w:link w:val="Zpat"/>
    <w:uiPriority w:val="99"/>
    <w:rsid w:val="00491540"/>
  </w:style>
  <w:style w:type="character" w:styleId="Hypertextovodkaz">
    <w:name w:val="Hyperlink"/>
    <w:basedOn w:val="Standardnpsmoodstavce"/>
    <w:uiPriority w:val="99"/>
    <w:unhideWhenUsed/>
    <w:rsid w:val="00516558"/>
    <w:rPr>
      <w:color w:val="467886" w:themeColor="hyperlink"/>
      <w:u w:val="single"/>
    </w:rPr>
  </w:style>
  <w:style w:type="character" w:styleId="Nevyeenzmnka">
    <w:name w:val="Unresolved Mention"/>
    <w:basedOn w:val="Standardnpsmoodstavce"/>
    <w:uiPriority w:val="99"/>
    <w:semiHidden/>
    <w:unhideWhenUsed/>
    <w:rsid w:val="00516558"/>
    <w:rPr>
      <w:color w:val="605E5C"/>
      <w:shd w:val="clear" w:color="auto" w:fill="E1DFDD"/>
    </w:rPr>
  </w:style>
  <w:style w:type="character" w:styleId="Odkaznakoment">
    <w:name w:val="annotation reference"/>
    <w:basedOn w:val="Standardnpsmoodstavce"/>
    <w:uiPriority w:val="99"/>
    <w:semiHidden/>
    <w:unhideWhenUsed/>
    <w:rsid w:val="00880A38"/>
    <w:rPr>
      <w:sz w:val="16"/>
      <w:szCs w:val="16"/>
    </w:rPr>
  </w:style>
  <w:style w:type="paragraph" w:styleId="Textkomente">
    <w:name w:val="annotation text"/>
    <w:basedOn w:val="Normln"/>
    <w:link w:val="TextkomenteChar"/>
    <w:uiPriority w:val="99"/>
    <w:unhideWhenUsed/>
    <w:rsid w:val="00880A38"/>
    <w:pPr>
      <w:spacing w:line="240" w:lineRule="auto"/>
    </w:pPr>
    <w:rPr>
      <w:sz w:val="20"/>
      <w:szCs w:val="20"/>
    </w:rPr>
  </w:style>
  <w:style w:type="character" w:customStyle="1" w:styleId="TextkomenteChar">
    <w:name w:val="Text komentáře Char"/>
    <w:basedOn w:val="Standardnpsmoodstavce"/>
    <w:link w:val="Textkomente"/>
    <w:uiPriority w:val="99"/>
    <w:rsid w:val="00880A38"/>
    <w:rPr>
      <w:sz w:val="20"/>
      <w:szCs w:val="20"/>
    </w:rPr>
  </w:style>
  <w:style w:type="paragraph" w:styleId="Pedmtkomente">
    <w:name w:val="annotation subject"/>
    <w:basedOn w:val="Textkomente"/>
    <w:next w:val="Textkomente"/>
    <w:link w:val="PedmtkomenteChar"/>
    <w:uiPriority w:val="99"/>
    <w:semiHidden/>
    <w:unhideWhenUsed/>
    <w:rsid w:val="00880A38"/>
    <w:rPr>
      <w:b/>
    </w:rPr>
  </w:style>
  <w:style w:type="character" w:customStyle="1" w:styleId="PedmtkomenteChar">
    <w:name w:val="Předmět komentáře Char"/>
    <w:basedOn w:val="TextkomenteChar"/>
    <w:link w:val="Pedmtkomente"/>
    <w:uiPriority w:val="99"/>
    <w:semiHidden/>
    <w:rsid w:val="00880A38"/>
    <w:rPr>
      <w:b/>
      <w:sz w:val="20"/>
      <w:szCs w:val="20"/>
    </w:rPr>
  </w:style>
  <w:style w:type="character" w:customStyle="1" w:styleId="lnekChar">
    <w:name w:val="Článek Char"/>
    <w:link w:val="lnek"/>
    <w:locked/>
    <w:rsid w:val="00D34AC9"/>
    <w:rPr>
      <w:rFonts w:eastAsia="Times New Roman"/>
      <w:lang w:val="x-none" w:eastAsia="x-none"/>
    </w:rPr>
  </w:style>
  <w:style w:type="paragraph" w:customStyle="1" w:styleId="lnek">
    <w:name w:val="Článek"/>
    <w:basedOn w:val="Normln"/>
    <w:next w:val="Normln"/>
    <w:link w:val="lnekChar"/>
    <w:rsid w:val="00D34AC9"/>
    <w:pPr>
      <w:keepNext/>
      <w:keepLines/>
      <w:spacing w:before="240" w:line="240" w:lineRule="auto"/>
      <w:jc w:val="center"/>
      <w:outlineLvl w:val="5"/>
    </w:pPr>
    <w:rPr>
      <w:rFonts w:eastAsia="Times New Roman"/>
      <w:lang w:val="x-none" w:eastAsia="x-none"/>
    </w:rPr>
  </w:style>
  <w:style w:type="paragraph" w:styleId="Revize">
    <w:name w:val="Revision"/>
    <w:hidden/>
    <w:uiPriority w:val="99"/>
    <w:semiHidden/>
    <w:rsid w:val="004934A8"/>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6150">
      <w:bodyDiv w:val="1"/>
      <w:marLeft w:val="0"/>
      <w:marRight w:val="0"/>
      <w:marTop w:val="0"/>
      <w:marBottom w:val="0"/>
      <w:divBdr>
        <w:top w:val="none" w:sz="0" w:space="0" w:color="auto"/>
        <w:left w:val="none" w:sz="0" w:space="0" w:color="auto"/>
        <w:bottom w:val="none" w:sz="0" w:space="0" w:color="auto"/>
        <w:right w:val="none" w:sz="0" w:space="0" w:color="auto"/>
      </w:divBdr>
      <w:divsChild>
        <w:div w:id="1160972859">
          <w:marLeft w:val="0"/>
          <w:marRight w:val="0"/>
          <w:marTop w:val="312"/>
          <w:marBottom w:val="96"/>
          <w:divBdr>
            <w:top w:val="none" w:sz="0" w:space="0" w:color="auto"/>
            <w:left w:val="none" w:sz="0" w:space="0" w:color="auto"/>
            <w:bottom w:val="none" w:sz="0" w:space="0" w:color="auto"/>
            <w:right w:val="none" w:sz="0" w:space="0" w:color="auto"/>
          </w:divBdr>
        </w:div>
      </w:divsChild>
    </w:div>
    <w:div w:id="34547909">
      <w:bodyDiv w:val="1"/>
      <w:marLeft w:val="0"/>
      <w:marRight w:val="0"/>
      <w:marTop w:val="0"/>
      <w:marBottom w:val="0"/>
      <w:divBdr>
        <w:top w:val="none" w:sz="0" w:space="0" w:color="auto"/>
        <w:left w:val="none" w:sz="0" w:space="0" w:color="auto"/>
        <w:bottom w:val="none" w:sz="0" w:space="0" w:color="auto"/>
        <w:right w:val="none" w:sz="0" w:space="0" w:color="auto"/>
      </w:divBdr>
      <w:divsChild>
        <w:div w:id="1617525128">
          <w:marLeft w:val="0"/>
          <w:marRight w:val="0"/>
          <w:marTop w:val="312"/>
          <w:marBottom w:val="96"/>
          <w:divBdr>
            <w:top w:val="none" w:sz="0" w:space="0" w:color="auto"/>
            <w:left w:val="none" w:sz="0" w:space="0" w:color="auto"/>
            <w:bottom w:val="none" w:sz="0" w:space="0" w:color="auto"/>
            <w:right w:val="none" w:sz="0" w:space="0" w:color="auto"/>
          </w:divBdr>
        </w:div>
        <w:div w:id="347412653">
          <w:marLeft w:val="0"/>
          <w:marRight w:val="0"/>
          <w:marTop w:val="96"/>
          <w:marBottom w:val="312"/>
          <w:divBdr>
            <w:top w:val="none" w:sz="0" w:space="0" w:color="auto"/>
            <w:left w:val="none" w:sz="0" w:space="0" w:color="auto"/>
            <w:bottom w:val="none" w:sz="0" w:space="0" w:color="auto"/>
            <w:right w:val="none" w:sz="0" w:space="0" w:color="auto"/>
          </w:divBdr>
        </w:div>
        <w:div w:id="1196041166">
          <w:marLeft w:val="0"/>
          <w:marRight w:val="0"/>
          <w:marTop w:val="0"/>
          <w:marBottom w:val="192"/>
          <w:divBdr>
            <w:top w:val="none" w:sz="0" w:space="0" w:color="auto"/>
            <w:left w:val="none" w:sz="0" w:space="0" w:color="auto"/>
            <w:bottom w:val="none" w:sz="0" w:space="0" w:color="auto"/>
            <w:right w:val="none" w:sz="0" w:space="0" w:color="auto"/>
          </w:divBdr>
        </w:div>
        <w:div w:id="759569777">
          <w:marLeft w:val="0"/>
          <w:marRight w:val="0"/>
          <w:marTop w:val="0"/>
          <w:marBottom w:val="192"/>
          <w:divBdr>
            <w:top w:val="none" w:sz="0" w:space="0" w:color="auto"/>
            <w:left w:val="none" w:sz="0" w:space="0" w:color="auto"/>
            <w:bottom w:val="none" w:sz="0" w:space="0" w:color="auto"/>
            <w:right w:val="none" w:sz="0" w:space="0" w:color="auto"/>
          </w:divBdr>
        </w:div>
      </w:divsChild>
    </w:div>
    <w:div w:id="94178801">
      <w:bodyDiv w:val="1"/>
      <w:marLeft w:val="0"/>
      <w:marRight w:val="0"/>
      <w:marTop w:val="0"/>
      <w:marBottom w:val="0"/>
      <w:divBdr>
        <w:top w:val="none" w:sz="0" w:space="0" w:color="auto"/>
        <w:left w:val="none" w:sz="0" w:space="0" w:color="auto"/>
        <w:bottom w:val="none" w:sz="0" w:space="0" w:color="auto"/>
        <w:right w:val="none" w:sz="0" w:space="0" w:color="auto"/>
      </w:divBdr>
      <w:divsChild>
        <w:div w:id="132260340">
          <w:marLeft w:val="0"/>
          <w:marRight w:val="0"/>
          <w:marTop w:val="312"/>
          <w:marBottom w:val="96"/>
          <w:divBdr>
            <w:top w:val="none" w:sz="0" w:space="0" w:color="auto"/>
            <w:left w:val="none" w:sz="0" w:space="0" w:color="auto"/>
            <w:bottom w:val="none" w:sz="0" w:space="0" w:color="auto"/>
            <w:right w:val="none" w:sz="0" w:space="0" w:color="auto"/>
          </w:divBdr>
        </w:div>
        <w:div w:id="834032419">
          <w:marLeft w:val="0"/>
          <w:marRight w:val="0"/>
          <w:marTop w:val="0"/>
          <w:marBottom w:val="192"/>
          <w:divBdr>
            <w:top w:val="none" w:sz="0" w:space="0" w:color="auto"/>
            <w:left w:val="none" w:sz="0" w:space="0" w:color="auto"/>
            <w:bottom w:val="none" w:sz="0" w:space="0" w:color="auto"/>
            <w:right w:val="none" w:sz="0" w:space="0" w:color="auto"/>
          </w:divBdr>
        </w:div>
      </w:divsChild>
    </w:div>
    <w:div w:id="111826947">
      <w:bodyDiv w:val="1"/>
      <w:marLeft w:val="0"/>
      <w:marRight w:val="0"/>
      <w:marTop w:val="0"/>
      <w:marBottom w:val="0"/>
      <w:divBdr>
        <w:top w:val="none" w:sz="0" w:space="0" w:color="auto"/>
        <w:left w:val="none" w:sz="0" w:space="0" w:color="auto"/>
        <w:bottom w:val="none" w:sz="0" w:space="0" w:color="auto"/>
        <w:right w:val="none" w:sz="0" w:space="0" w:color="auto"/>
      </w:divBdr>
      <w:divsChild>
        <w:div w:id="327950763">
          <w:marLeft w:val="0"/>
          <w:marRight w:val="0"/>
          <w:marTop w:val="312"/>
          <w:marBottom w:val="96"/>
          <w:divBdr>
            <w:top w:val="none" w:sz="0" w:space="0" w:color="auto"/>
            <w:left w:val="none" w:sz="0" w:space="0" w:color="auto"/>
            <w:bottom w:val="none" w:sz="0" w:space="0" w:color="auto"/>
            <w:right w:val="none" w:sz="0" w:space="0" w:color="auto"/>
          </w:divBdr>
        </w:div>
        <w:div w:id="654798864">
          <w:marLeft w:val="0"/>
          <w:marRight w:val="0"/>
          <w:marTop w:val="96"/>
          <w:marBottom w:val="312"/>
          <w:divBdr>
            <w:top w:val="none" w:sz="0" w:space="0" w:color="auto"/>
            <w:left w:val="none" w:sz="0" w:space="0" w:color="auto"/>
            <w:bottom w:val="none" w:sz="0" w:space="0" w:color="auto"/>
            <w:right w:val="none" w:sz="0" w:space="0" w:color="auto"/>
          </w:divBdr>
        </w:div>
        <w:div w:id="1016346721">
          <w:marLeft w:val="0"/>
          <w:marRight w:val="0"/>
          <w:marTop w:val="0"/>
          <w:marBottom w:val="192"/>
          <w:divBdr>
            <w:top w:val="none" w:sz="0" w:space="0" w:color="auto"/>
            <w:left w:val="none" w:sz="0" w:space="0" w:color="auto"/>
            <w:bottom w:val="none" w:sz="0" w:space="0" w:color="auto"/>
            <w:right w:val="none" w:sz="0" w:space="0" w:color="auto"/>
          </w:divBdr>
        </w:div>
        <w:div w:id="20055742">
          <w:marLeft w:val="0"/>
          <w:marRight w:val="0"/>
          <w:marTop w:val="0"/>
          <w:marBottom w:val="192"/>
          <w:divBdr>
            <w:top w:val="none" w:sz="0" w:space="0" w:color="auto"/>
            <w:left w:val="none" w:sz="0" w:space="0" w:color="auto"/>
            <w:bottom w:val="none" w:sz="0" w:space="0" w:color="auto"/>
            <w:right w:val="none" w:sz="0" w:space="0" w:color="auto"/>
          </w:divBdr>
        </w:div>
        <w:div w:id="557785603">
          <w:marLeft w:val="0"/>
          <w:marRight w:val="0"/>
          <w:marTop w:val="0"/>
          <w:marBottom w:val="192"/>
          <w:divBdr>
            <w:top w:val="none" w:sz="0" w:space="0" w:color="auto"/>
            <w:left w:val="none" w:sz="0" w:space="0" w:color="auto"/>
            <w:bottom w:val="none" w:sz="0" w:space="0" w:color="auto"/>
            <w:right w:val="none" w:sz="0" w:space="0" w:color="auto"/>
          </w:divBdr>
        </w:div>
        <w:div w:id="1534345035">
          <w:marLeft w:val="0"/>
          <w:marRight w:val="0"/>
          <w:marTop w:val="0"/>
          <w:marBottom w:val="192"/>
          <w:divBdr>
            <w:top w:val="none" w:sz="0" w:space="0" w:color="auto"/>
            <w:left w:val="none" w:sz="0" w:space="0" w:color="auto"/>
            <w:bottom w:val="none" w:sz="0" w:space="0" w:color="auto"/>
            <w:right w:val="none" w:sz="0" w:space="0" w:color="auto"/>
          </w:divBdr>
        </w:div>
        <w:div w:id="1016730568">
          <w:marLeft w:val="0"/>
          <w:marRight w:val="0"/>
          <w:marTop w:val="0"/>
          <w:marBottom w:val="192"/>
          <w:divBdr>
            <w:top w:val="none" w:sz="0" w:space="0" w:color="auto"/>
            <w:left w:val="none" w:sz="0" w:space="0" w:color="auto"/>
            <w:bottom w:val="none" w:sz="0" w:space="0" w:color="auto"/>
            <w:right w:val="none" w:sz="0" w:space="0" w:color="auto"/>
          </w:divBdr>
        </w:div>
        <w:div w:id="1666283428">
          <w:marLeft w:val="0"/>
          <w:marRight w:val="0"/>
          <w:marTop w:val="0"/>
          <w:marBottom w:val="192"/>
          <w:divBdr>
            <w:top w:val="none" w:sz="0" w:space="0" w:color="auto"/>
            <w:left w:val="none" w:sz="0" w:space="0" w:color="auto"/>
            <w:bottom w:val="none" w:sz="0" w:space="0" w:color="auto"/>
            <w:right w:val="none" w:sz="0" w:space="0" w:color="auto"/>
          </w:divBdr>
        </w:div>
        <w:div w:id="1785684630">
          <w:marLeft w:val="0"/>
          <w:marRight w:val="0"/>
          <w:marTop w:val="0"/>
          <w:marBottom w:val="192"/>
          <w:divBdr>
            <w:top w:val="none" w:sz="0" w:space="0" w:color="auto"/>
            <w:left w:val="none" w:sz="0" w:space="0" w:color="auto"/>
            <w:bottom w:val="none" w:sz="0" w:space="0" w:color="auto"/>
            <w:right w:val="none" w:sz="0" w:space="0" w:color="auto"/>
          </w:divBdr>
        </w:div>
        <w:div w:id="1021975086">
          <w:marLeft w:val="0"/>
          <w:marRight w:val="0"/>
          <w:marTop w:val="0"/>
          <w:marBottom w:val="192"/>
          <w:divBdr>
            <w:top w:val="none" w:sz="0" w:space="0" w:color="auto"/>
            <w:left w:val="none" w:sz="0" w:space="0" w:color="auto"/>
            <w:bottom w:val="none" w:sz="0" w:space="0" w:color="auto"/>
            <w:right w:val="none" w:sz="0" w:space="0" w:color="auto"/>
          </w:divBdr>
        </w:div>
        <w:div w:id="1664508218">
          <w:marLeft w:val="0"/>
          <w:marRight w:val="0"/>
          <w:marTop w:val="0"/>
          <w:marBottom w:val="192"/>
          <w:divBdr>
            <w:top w:val="none" w:sz="0" w:space="0" w:color="auto"/>
            <w:left w:val="none" w:sz="0" w:space="0" w:color="auto"/>
            <w:bottom w:val="none" w:sz="0" w:space="0" w:color="auto"/>
            <w:right w:val="none" w:sz="0" w:space="0" w:color="auto"/>
          </w:divBdr>
        </w:div>
        <w:div w:id="37706905">
          <w:marLeft w:val="0"/>
          <w:marRight w:val="0"/>
          <w:marTop w:val="0"/>
          <w:marBottom w:val="192"/>
          <w:divBdr>
            <w:top w:val="none" w:sz="0" w:space="0" w:color="auto"/>
            <w:left w:val="none" w:sz="0" w:space="0" w:color="auto"/>
            <w:bottom w:val="none" w:sz="0" w:space="0" w:color="auto"/>
            <w:right w:val="none" w:sz="0" w:space="0" w:color="auto"/>
          </w:divBdr>
        </w:div>
      </w:divsChild>
    </w:div>
    <w:div w:id="177893500">
      <w:bodyDiv w:val="1"/>
      <w:marLeft w:val="0"/>
      <w:marRight w:val="0"/>
      <w:marTop w:val="0"/>
      <w:marBottom w:val="0"/>
      <w:divBdr>
        <w:top w:val="none" w:sz="0" w:space="0" w:color="auto"/>
        <w:left w:val="none" w:sz="0" w:space="0" w:color="auto"/>
        <w:bottom w:val="none" w:sz="0" w:space="0" w:color="auto"/>
        <w:right w:val="none" w:sz="0" w:space="0" w:color="auto"/>
      </w:divBdr>
      <w:divsChild>
        <w:div w:id="158887555">
          <w:marLeft w:val="0"/>
          <w:marRight w:val="0"/>
          <w:marTop w:val="312"/>
          <w:marBottom w:val="96"/>
          <w:divBdr>
            <w:top w:val="none" w:sz="0" w:space="0" w:color="auto"/>
            <w:left w:val="none" w:sz="0" w:space="0" w:color="auto"/>
            <w:bottom w:val="none" w:sz="0" w:space="0" w:color="auto"/>
            <w:right w:val="none" w:sz="0" w:space="0" w:color="auto"/>
          </w:divBdr>
        </w:div>
        <w:div w:id="783426412">
          <w:marLeft w:val="0"/>
          <w:marRight w:val="0"/>
          <w:marTop w:val="0"/>
          <w:marBottom w:val="192"/>
          <w:divBdr>
            <w:top w:val="none" w:sz="0" w:space="0" w:color="auto"/>
            <w:left w:val="none" w:sz="0" w:space="0" w:color="auto"/>
            <w:bottom w:val="none" w:sz="0" w:space="0" w:color="auto"/>
            <w:right w:val="none" w:sz="0" w:space="0" w:color="auto"/>
          </w:divBdr>
        </w:div>
        <w:div w:id="1877237843">
          <w:marLeft w:val="0"/>
          <w:marRight w:val="0"/>
          <w:marTop w:val="0"/>
          <w:marBottom w:val="192"/>
          <w:divBdr>
            <w:top w:val="none" w:sz="0" w:space="0" w:color="auto"/>
            <w:left w:val="none" w:sz="0" w:space="0" w:color="auto"/>
            <w:bottom w:val="none" w:sz="0" w:space="0" w:color="auto"/>
            <w:right w:val="none" w:sz="0" w:space="0" w:color="auto"/>
          </w:divBdr>
        </w:div>
        <w:div w:id="2043438431">
          <w:marLeft w:val="0"/>
          <w:marRight w:val="0"/>
          <w:marTop w:val="0"/>
          <w:marBottom w:val="192"/>
          <w:divBdr>
            <w:top w:val="none" w:sz="0" w:space="0" w:color="auto"/>
            <w:left w:val="none" w:sz="0" w:space="0" w:color="auto"/>
            <w:bottom w:val="none" w:sz="0" w:space="0" w:color="auto"/>
            <w:right w:val="none" w:sz="0" w:space="0" w:color="auto"/>
          </w:divBdr>
        </w:div>
        <w:div w:id="156846255">
          <w:marLeft w:val="0"/>
          <w:marRight w:val="0"/>
          <w:marTop w:val="0"/>
          <w:marBottom w:val="192"/>
          <w:divBdr>
            <w:top w:val="none" w:sz="0" w:space="0" w:color="auto"/>
            <w:left w:val="none" w:sz="0" w:space="0" w:color="auto"/>
            <w:bottom w:val="none" w:sz="0" w:space="0" w:color="auto"/>
            <w:right w:val="none" w:sz="0" w:space="0" w:color="auto"/>
          </w:divBdr>
        </w:div>
      </w:divsChild>
    </w:div>
    <w:div w:id="250361558">
      <w:bodyDiv w:val="1"/>
      <w:marLeft w:val="0"/>
      <w:marRight w:val="0"/>
      <w:marTop w:val="0"/>
      <w:marBottom w:val="0"/>
      <w:divBdr>
        <w:top w:val="none" w:sz="0" w:space="0" w:color="auto"/>
        <w:left w:val="none" w:sz="0" w:space="0" w:color="auto"/>
        <w:bottom w:val="none" w:sz="0" w:space="0" w:color="auto"/>
        <w:right w:val="none" w:sz="0" w:space="0" w:color="auto"/>
      </w:divBdr>
      <w:divsChild>
        <w:div w:id="1313874105">
          <w:marLeft w:val="0"/>
          <w:marRight w:val="0"/>
          <w:marTop w:val="312"/>
          <w:marBottom w:val="96"/>
          <w:divBdr>
            <w:top w:val="none" w:sz="0" w:space="0" w:color="auto"/>
            <w:left w:val="none" w:sz="0" w:space="0" w:color="auto"/>
            <w:bottom w:val="none" w:sz="0" w:space="0" w:color="auto"/>
            <w:right w:val="none" w:sz="0" w:space="0" w:color="auto"/>
          </w:divBdr>
        </w:div>
        <w:div w:id="1805848021">
          <w:marLeft w:val="0"/>
          <w:marRight w:val="0"/>
          <w:marTop w:val="96"/>
          <w:marBottom w:val="312"/>
          <w:divBdr>
            <w:top w:val="none" w:sz="0" w:space="0" w:color="auto"/>
            <w:left w:val="none" w:sz="0" w:space="0" w:color="auto"/>
            <w:bottom w:val="none" w:sz="0" w:space="0" w:color="auto"/>
            <w:right w:val="none" w:sz="0" w:space="0" w:color="auto"/>
          </w:divBdr>
        </w:div>
        <w:div w:id="918948703">
          <w:marLeft w:val="0"/>
          <w:marRight w:val="0"/>
          <w:marTop w:val="0"/>
          <w:marBottom w:val="192"/>
          <w:divBdr>
            <w:top w:val="none" w:sz="0" w:space="0" w:color="auto"/>
            <w:left w:val="none" w:sz="0" w:space="0" w:color="auto"/>
            <w:bottom w:val="none" w:sz="0" w:space="0" w:color="auto"/>
            <w:right w:val="none" w:sz="0" w:space="0" w:color="auto"/>
          </w:divBdr>
        </w:div>
        <w:div w:id="1414400310">
          <w:marLeft w:val="0"/>
          <w:marRight w:val="0"/>
          <w:marTop w:val="0"/>
          <w:marBottom w:val="192"/>
          <w:divBdr>
            <w:top w:val="none" w:sz="0" w:space="0" w:color="auto"/>
            <w:left w:val="none" w:sz="0" w:space="0" w:color="auto"/>
            <w:bottom w:val="none" w:sz="0" w:space="0" w:color="auto"/>
            <w:right w:val="none" w:sz="0" w:space="0" w:color="auto"/>
          </w:divBdr>
        </w:div>
        <w:div w:id="1773814863">
          <w:marLeft w:val="0"/>
          <w:marRight w:val="0"/>
          <w:marTop w:val="0"/>
          <w:marBottom w:val="192"/>
          <w:divBdr>
            <w:top w:val="none" w:sz="0" w:space="0" w:color="auto"/>
            <w:left w:val="none" w:sz="0" w:space="0" w:color="auto"/>
            <w:bottom w:val="none" w:sz="0" w:space="0" w:color="auto"/>
            <w:right w:val="none" w:sz="0" w:space="0" w:color="auto"/>
          </w:divBdr>
        </w:div>
        <w:div w:id="497889204">
          <w:marLeft w:val="0"/>
          <w:marRight w:val="0"/>
          <w:marTop w:val="0"/>
          <w:marBottom w:val="192"/>
          <w:divBdr>
            <w:top w:val="none" w:sz="0" w:space="0" w:color="auto"/>
            <w:left w:val="none" w:sz="0" w:space="0" w:color="auto"/>
            <w:bottom w:val="none" w:sz="0" w:space="0" w:color="auto"/>
            <w:right w:val="none" w:sz="0" w:space="0" w:color="auto"/>
          </w:divBdr>
        </w:div>
        <w:div w:id="892887972">
          <w:marLeft w:val="0"/>
          <w:marRight w:val="0"/>
          <w:marTop w:val="0"/>
          <w:marBottom w:val="192"/>
          <w:divBdr>
            <w:top w:val="none" w:sz="0" w:space="0" w:color="auto"/>
            <w:left w:val="none" w:sz="0" w:space="0" w:color="auto"/>
            <w:bottom w:val="none" w:sz="0" w:space="0" w:color="auto"/>
            <w:right w:val="none" w:sz="0" w:space="0" w:color="auto"/>
          </w:divBdr>
        </w:div>
        <w:div w:id="1076392468">
          <w:marLeft w:val="0"/>
          <w:marRight w:val="0"/>
          <w:marTop w:val="0"/>
          <w:marBottom w:val="192"/>
          <w:divBdr>
            <w:top w:val="none" w:sz="0" w:space="0" w:color="auto"/>
            <w:left w:val="none" w:sz="0" w:space="0" w:color="auto"/>
            <w:bottom w:val="none" w:sz="0" w:space="0" w:color="auto"/>
            <w:right w:val="none" w:sz="0" w:space="0" w:color="auto"/>
          </w:divBdr>
        </w:div>
      </w:divsChild>
    </w:div>
    <w:div w:id="256256958">
      <w:bodyDiv w:val="1"/>
      <w:marLeft w:val="0"/>
      <w:marRight w:val="0"/>
      <w:marTop w:val="0"/>
      <w:marBottom w:val="0"/>
      <w:divBdr>
        <w:top w:val="none" w:sz="0" w:space="0" w:color="auto"/>
        <w:left w:val="none" w:sz="0" w:space="0" w:color="auto"/>
        <w:bottom w:val="none" w:sz="0" w:space="0" w:color="auto"/>
        <w:right w:val="none" w:sz="0" w:space="0" w:color="auto"/>
      </w:divBdr>
    </w:div>
    <w:div w:id="296841623">
      <w:bodyDiv w:val="1"/>
      <w:marLeft w:val="0"/>
      <w:marRight w:val="0"/>
      <w:marTop w:val="0"/>
      <w:marBottom w:val="0"/>
      <w:divBdr>
        <w:top w:val="none" w:sz="0" w:space="0" w:color="auto"/>
        <w:left w:val="none" w:sz="0" w:space="0" w:color="auto"/>
        <w:bottom w:val="none" w:sz="0" w:space="0" w:color="auto"/>
        <w:right w:val="none" w:sz="0" w:space="0" w:color="auto"/>
      </w:divBdr>
      <w:divsChild>
        <w:div w:id="1067845730">
          <w:marLeft w:val="0"/>
          <w:marRight w:val="0"/>
          <w:marTop w:val="96"/>
          <w:marBottom w:val="312"/>
          <w:divBdr>
            <w:top w:val="none" w:sz="0" w:space="0" w:color="auto"/>
            <w:left w:val="none" w:sz="0" w:space="0" w:color="auto"/>
            <w:bottom w:val="none" w:sz="0" w:space="0" w:color="auto"/>
            <w:right w:val="none" w:sz="0" w:space="0" w:color="auto"/>
          </w:divBdr>
        </w:div>
        <w:div w:id="332412889">
          <w:marLeft w:val="0"/>
          <w:marRight w:val="0"/>
          <w:marTop w:val="0"/>
          <w:marBottom w:val="192"/>
          <w:divBdr>
            <w:top w:val="none" w:sz="0" w:space="0" w:color="auto"/>
            <w:left w:val="none" w:sz="0" w:space="0" w:color="auto"/>
            <w:bottom w:val="none" w:sz="0" w:space="0" w:color="auto"/>
            <w:right w:val="none" w:sz="0" w:space="0" w:color="auto"/>
          </w:divBdr>
        </w:div>
      </w:divsChild>
    </w:div>
    <w:div w:id="312761964">
      <w:bodyDiv w:val="1"/>
      <w:marLeft w:val="0"/>
      <w:marRight w:val="0"/>
      <w:marTop w:val="0"/>
      <w:marBottom w:val="0"/>
      <w:divBdr>
        <w:top w:val="none" w:sz="0" w:space="0" w:color="auto"/>
        <w:left w:val="none" w:sz="0" w:space="0" w:color="auto"/>
        <w:bottom w:val="none" w:sz="0" w:space="0" w:color="auto"/>
        <w:right w:val="none" w:sz="0" w:space="0" w:color="auto"/>
      </w:divBdr>
      <w:divsChild>
        <w:div w:id="1623994655">
          <w:marLeft w:val="0"/>
          <w:marRight w:val="0"/>
          <w:marTop w:val="312"/>
          <w:marBottom w:val="96"/>
          <w:divBdr>
            <w:top w:val="none" w:sz="0" w:space="0" w:color="auto"/>
            <w:left w:val="none" w:sz="0" w:space="0" w:color="auto"/>
            <w:bottom w:val="none" w:sz="0" w:space="0" w:color="auto"/>
            <w:right w:val="none" w:sz="0" w:space="0" w:color="auto"/>
          </w:divBdr>
        </w:div>
      </w:divsChild>
    </w:div>
    <w:div w:id="361829023">
      <w:bodyDiv w:val="1"/>
      <w:marLeft w:val="0"/>
      <w:marRight w:val="0"/>
      <w:marTop w:val="0"/>
      <w:marBottom w:val="0"/>
      <w:divBdr>
        <w:top w:val="none" w:sz="0" w:space="0" w:color="auto"/>
        <w:left w:val="none" w:sz="0" w:space="0" w:color="auto"/>
        <w:bottom w:val="none" w:sz="0" w:space="0" w:color="auto"/>
        <w:right w:val="none" w:sz="0" w:space="0" w:color="auto"/>
      </w:divBdr>
    </w:div>
    <w:div w:id="389041382">
      <w:bodyDiv w:val="1"/>
      <w:marLeft w:val="0"/>
      <w:marRight w:val="0"/>
      <w:marTop w:val="0"/>
      <w:marBottom w:val="0"/>
      <w:divBdr>
        <w:top w:val="none" w:sz="0" w:space="0" w:color="auto"/>
        <w:left w:val="none" w:sz="0" w:space="0" w:color="auto"/>
        <w:bottom w:val="none" w:sz="0" w:space="0" w:color="auto"/>
        <w:right w:val="none" w:sz="0" w:space="0" w:color="auto"/>
      </w:divBdr>
    </w:div>
    <w:div w:id="402728252">
      <w:bodyDiv w:val="1"/>
      <w:marLeft w:val="0"/>
      <w:marRight w:val="0"/>
      <w:marTop w:val="0"/>
      <w:marBottom w:val="0"/>
      <w:divBdr>
        <w:top w:val="none" w:sz="0" w:space="0" w:color="auto"/>
        <w:left w:val="none" w:sz="0" w:space="0" w:color="auto"/>
        <w:bottom w:val="none" w:sz="0" w:space="0" w:color="auto"/>
        <w:right w:val="none" w:sz="0" w:space="0" w:color="auto"/>
      </w:divBdr>
      <w:divsChild>
        <w:div w:id="1400009624">
          <w:marLeft w:val="0"/>
          <w:marRight w:val="0"/>
          <w:marTop w:val="312"/>
          <w:marBottom w:val="96"/>
          <w:divBdr>
            <w:top w:val="none" w:sz="0" w:space="0" w:color="auto"/>
            <w:left w:val="none" w:sz="0" w:space="0" w:color="auto"/>
            <w:bottom w:val="none" w:sz="0" w:space="0" w:color="auto"/>
            <w:right w:val="none" w:sz="0" w:space="0" w:color="auto"/>
          </w:divBdr>
        </w:div>
        <w:div w:id="1187136156">
          <w:marLeft w:val="0"/>
          <w:marRight w:val="0"/>
          <w:marTop w:val="0"/>
          <w:marBottom w:val="192"/>
          <w:divBdr>
            <w:top w:val="none" w:sz="0" w:space="0" w:color="auto"/>
            <w:left w:val="none" w:sz="0" w:space="0" w:color="auto"/>
            <w:bottom w:val="none" w:sz="0" w:space="0" w:color="auto"/>
            <w:right w:val="none" w:sz="0" w:space="0" w:color="auto"/>
          </w:divBdr>
        </w:div>
        <w:div w:id="2017608637">
          <w:marLeft w:val="0"/>
          <w:marRight w:val="0"/>
          <w:marTop w:val="0"/>
          <w:marBottom w:val="192"/>
          <w:divBdr>
            <w:top w:val="none" w:sz="0" w:space="0" w:color="auto"/>
            <w:left w:val="none" w:sz="0" w:space="0" w:color="auto"/>
            <w:bottom w:val="none" w:sz="0" w:space="0" w:color="auto"/>
            <w:right w:val="none" w:sz="0" w:space="0" w:color="auto"/>
          </w:divBdr>
        </w:div>
        <w:div w:id="1349216122">
          <w:marLeft w:val="0"/>
          <w:marRight w:val="0"/>
          <w:marTop w:val="0"/>
          <w:marBottom w:val="192"/>
          <w:divBdr>
            <w:top w:val="none" w:sz="0" w:space="0" w:color="auto"/>
            <w:left w:val="none" w:sz="0" w:space="0" w:color="auto"/>
            <w:bottom w:val="none" w:sz="0" w:space="0" w:color="auto"/>
            <w:right w:val="none" w:sz="0" w:space="0" w:color="auto"/>
          </w:divBdr>
        </w:div>
        <w:div w:id="1305428624">
          <w:marLeft w:val="0"/>
          <w:marRight w:val="0"/>
          <w:marTop w:val="0"/>
          <w:marBottom w:val="192"/>
          <w:divBdr>
            <w:top w:val="none" w:sz="0" w:space="0" w:color="auto"/>
            <w:left w:val="none" w:sz="0" w:space="0" w:color="auto"/>
            <w:bottom w:val="none" w:sz="0" w:space="0" w:color="auto"/>
            <w:right w:val="none" w:sz="0" w:space="0" w:color="auto"/>
          </w:divBdr>
        </w:div>
      </w:divsChild>
    </w:div>
    <w:div w:id="405805908">
      <w:bodyDiv w:val="1"/>
      <w:marLeft w:val="0"/>
      <w:marRight w:val="0"/>
      <w:marTop w:val="0"/>
      <w:marBottom w:val="0"/>
      <w:divBdr>
        <w:top w:val="none" w:sz="0" w:space="0" w:color="auto"/>
        <w:left w:val="none" w:sz="0" w:space="0" w:color="auto"/>
        <w:bottom w:val="none" w:sz="0" w:space="0" w:color="auto"/>
        <w:right w:val="none" w:sz="0" w:space="0" w:color="auto"/>
      </w:divBdr>
      <w:divsChild>
        <w:div w:id="95369317">
          <w:marLeft w:val="0"/>
          <w:marRight w:val="0"/>
          <w:marTop w:val="312"/>
          <w:marBottom w:val="96"/>
          <w:divBdr>
            <w:top w:val="none" w:sz="0" w:space="0" w:color="auto"/>
            <w:left w:val="none" w:sz="0" w:space="0" w:color="auto"/>
            <w:bottom w:val="none" w:sz="0" w:space="0" w:color="auto"/>
            <w:right w:val="none" w:sz="0" w:space="0" w:color="auto"/>
          </w:divBdr>
        </w:div>
      </w:divsChild>
    </w:div>
    <w:div w:id="418142456">
      <w:bodyDiv w:val="1"/>
      <w:marLeft w:val="0"/>
      <w:marRight w:val="0"/>
      <w:marTop w:val="0"/>
      <w:marBottom w:val="0"/>
      <w:divBdr>
        <w:top w:val="none" w:sz="0" w:space="0" w:color="auto"/>
        <w:left w:val="none" w:sz="0" w:space="0" w:color="auto"/>
        <w:bottom w:val="none" w:sz="0" w:space="0" w:color="auto"/>
        <w:right w:val="none" w:sz="0" w:space="0" w:color="auto"/>
      </w:divBdr>
      <w:divsChild>
        <w:div w:id="1114783978">
          <w:marLeft w:val="0"/>
          <w:marRight w:val="0"/>
          <w:marTop w:val="312"/>
          <w:marBottom w:val="96"/>
          <w:divBdr>
            <w:top w:val="none" w:sz="0" w:space="0" w:color="auto"/>
            <w:left w:val="none" w:sz="0" w:space="0" w:color="auto"/>
            <w:bottom w:val="none" w:sz="0" w:space="0" w:color="auto"/>
            <w:right w:val="none" w:sz="0" w:space="0" w:color="auto"/>
          </w:divBdr>
        </w:div>
        <w:div w:id="1497064904">
          <w:marLeft w:val="0"/>
          <w:marRight w:val="0"/>
          <w:marTop w:val="0"/>
          <w:marBottom w:val="192"/>
          <w:divBdr>
            <w:top w:val="none" w:sz="0" w:space="0" w:color="auto"/>
            <w:left w:val="none" w:sz="0" w:space="0" w:color="auto"/>
            <w:bottom w:val="none" w:sz="0" w:space="0" w:color="auto"/>
            <w:right w:val="none" w:sz="0" w:space="0" w:color="auto"/>
          </w:divBdr>
        </w:div>
        <w:div w:id="1343967231">
          <w:marLeft w:val="0"/>
          <w:marRight w:val="0"/>
          <w:marTop w:val="0"/>
          <w:marBottom w:val="192"/>
          <w:divBdr>
            <w:top w:val="none" w:sz="0" w:space="0" w:color="auto"/>
            <w:left w:val="none" w:sz="0" w:space="0" w:color="auto"/>
            <w:bottom w:val="none" w:sz="0" w:space="0" w:color="auto"/>
            <w:right w:val="none" w:sz="0" w:space="0" w:color="auto"/>
          </w:divBdr>
        </w:div>
      </w:divsChild>
    </w:div>
    <w:div w:id="431510463">
      <w:bodyDiv w:val="1"/>
      <w:marLeft w:val="0"/>
      <w:marRight w:val="0"/>
      <w:marTop w:val="0"/>
      <w:marBottom w:val="0"/>
      <w:divBdr>
        <w:top w:val="none" w:sz="0" w:space="0" w:color="auto"/>
        <w:left w:val="none" w:sz="0" w:space="0" w:color="auto"/>
        <w:bottom w:val="none" w:sz="0" w:space="0" w:color="auto"/>
        <w:right w:val="none" w:sz="0" w:space="0" w:color="auto"/>
      </w:divBdr>
      <w:divsChild>
        <w:div w:id="902060700">
          <w:marLeft w:val="0"/>
          <w:marRight w:val="0"/>
          <w:marTop w:val="0"/>
          <w:marBottom w:val="0"/>
          <w:divBdr>
            <w:top w:val="none" w:sz="0" w:space="0" w:color="auto"/>
            <w:left w:val="none" w:sz="0" w:space="0" w:color="auto"/>
            <w:bottom w:val="none" w:sz="0" w:space="0" w:color="auto"/>
            <w:right w:val="none" w:sz="0" w:space="0" w:color="auto"/>
          </w:divBdr>
          <w:divsChild>
            <w:div w:id="1916891302">
              <w:marLeft w:val="0"/>
              <w:marRight w:val="0"/>
              <w:marTop w:val="0"/>
              <w:marBottom w:val="0"/>
              <w:divBdr>
                <w:top w:val="none" w:sz="0" w:space="0" w:color="auto"/>
                <w:left w:val="none" w:sz="0" w:space="0" w:color="auto"/>
                <w:bottom w:val="none" w:sz="0" w:space="0" w:color="auto"/>
                <w:right w:val="none" w:sz="0" w:space="0" w:color="auto"/>
              </w:divBdr>
            </w:div>
          </w:divsChild>
        </w:div>
        <w:div w:id="1823615468">
          <w:marLeft w:val="0"/>
          <w:marRight w:val="0"/>
          <w:marTop w:val="0"/>
          <w:marBottom w:val="0"/>
          <w:divBdr>
            <w:top w:val="none" w:sz="0" w:space="0" w:color="auto"/>
            <w:left w:val="none" w:sz="0" w:space="0" w:color="auto"/>
            <w:bottom w:val="none" w:sz="0" w:space="0" w:color="auto"/>
            <w:right w:val="none" w:sz="0" w:space="0" w:color="auto"/>
          </w:divBdr>
          <w:divsChild>
            <w:div w:id="1201430280">
              <w:marLeft w:val="0"/>
              <w:marRight w:val="0"/>
              <w:marTop w:val="0"/>
              <w:marBottom w:val="0"/>
              <w:divBdr>
                <w:top w:val="none" w:sz="0" w:space="0" w:color="auto"/>
                <w:left w:val="none" w:sz="0" w:space="0" w:color="auto"/>
                <w:bottom w:val="none" w:sz="0" w:space="0" w:color="auto"/>
                <w:right w:val="none" w:sz="0" w:space="0" w:color="auto"/>
              </w:divBdr>
            </w:div>
          </w:divsChild>
        </w:div>
        <w:div w:id="283003159">
          <w:marLeft w:val="0"/>
          <w:marRight w:val="0"/>
          <w:marTop w:val="0"/>
          <w:marBottom w:val="0"/>
          <w:divBdr>
            <w:top w:val="none" w:sz="0" w:space="0" w:color="auto"/>
            <w:left w:val="none" w:sz="0" w:space="0" w:color="auto"/>
            <w:bottom w:val="none" w:sz="0" w:space="0" w:color="auto"/>
            <w:right w:val="none" w:sz="0" w:space="0" w:color="auto"/>
          </w:divBdr>
          <w:divsChild>
            <w:div w:id="139716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307">
      <w:bodyDiv w:val="1"/>
      <w:marLeft w:val="0"/>
      <w:marRight w:val="0"/>
      <w:marTop w:val="0"/>
      <w:marBottom w:val="0"/>
      <w:divBdr>
        <w:top w:val="none" w:sz="0" w:space="0" w:color="auto"/>
        <w:left w:val="none" w:sz="0" w:space="0" w:color="auto"/>
        <w:bottom w:val="none" w:sz="0" w:space="0" w:color="auto"/>
        <w:right w:val="none" w:sz="0" w:space="0" w:color="auto"/>
      </w:divBdr>
      <w:divsChild>
        <w:div w:id="1377697820">
          <w:marLeft w:val="0"/>
          <w:marRight w:val="0"/>
          <w:marTop w:val="312"/>
          <w:marBottom w:val="96"/>
          <w:divBdr>
            <w:top w:val="none" w:sz="0" w:space="0" w:color="auto"/>
            <w:left w:val="none" w:sz="0" w:space="0" w:color="auto"/>
            <w:bottom w:val="none" w:sz="0" w:space="0" w:color="auto"/>
            <w:right w:val="none" w:sz="0" w:space="0" w:color="auto"/>
          </w:divBdr>
        </w:div>
        <w:div w:id="730732244">
          <w:marLeft w:val="0"/>
          <w:marRight w:val="0"/>
          <w:marTop w:val="96"/>
          <w:marBottom w:val="312"/>
          <w:divBdr>
            <w:top w:val="none" w:sz="0" w:space="0" w:color="auto"/>
            <w:left w:val="none" w:sz="0" w:space="0" w:color="auto"/>
            <w:bottom w:val="none" w:sz="0" w:space="0" w:color="auto"/>
            <w:right w:val="none" w:sz="0" w:space="0" w:color="auto"/>
          </w:divBdr>
        </w:div>
        <w:div w:id="1103920049">
          <w:marLeft w:val="0"/>
          <w:marRight w:val="0"/>
          <w:marTop w:val="0"/>
          <w:marBottom w:val="192"/>
          <w:divBdr>
            <w:top w:val="none" w:sz="0" w:space="0" w:color="auto"/>
            <w:left w:val="none" w:sz="0" w:space="0" w:color="auto"/>
            <w:bottom w:val="none" w:sz="0" w:space="0" w:color="auto"/>
            <w:right w:val="none" w:sz="0" w:space="0" w:color="auto"/>
          </w:divBdr>
        </w:div>
        <w:div w:id="1613510085">
          <w:marLeft w:val="0"/>
          <w:marRight w:val="0"/>
          <w:marTop w:val="0"/>
          <w:marBottom w:val="192"/>
          <w:divBdr>
            <w:top w:val="none" w:sz="0" w:space="0" w:color="auto"/>
            <w:left w:val="none" w:sz="0" w:space="0" w:color="auto"/>
            <w:bottom w:val="none" w:sz="0" w:space="0" w:color="auto"/>
            <w:right w:val="none" w:sz="0" w:space="0" w:color="auto"/>
          </w:divBdr>
        </w:div>
        <w:div w:id="1328438929">
          <w:marLeft w:val="0"/>
          <w:marRight w:val="0"/>
          <w:marTop w:val="0"/>
          <w:marBottom w:val="192"/>
          <w:divBdr>
            <w:top w:val="none" w:sz="0" w:space="0" w:color="auto"/>
            <w:left w:val="none" w:sz="0" w:space="0" w:color="auto"/>
            <w:bottom w:val="none" w:sz="0" w:space="0" w:color="auto"/>
            <w:right w:val="none" w:sz="0" w:space="0" w:color="auto"/>
          </w:divBdr>
        </w:div>
        <w:div w:id="66617302">
          <w:marLeft w:val="0"/>
          <w:marRight w:val="0"/>
          <w:marTop w:val="0"/>
          <w:marBottom w:val="192"/>
          <w:divBdr>
            <w:top w:val="none" w:sz="0" w:space="0" w:color="auto"/>
            <w:left w:val="none" w:sz="0" w:space="0" w:color="auto"/>
            <w:bottom w:val="none" w:sz="0" w:space="0" w:color="auto"/>
            <w:right w:val="none" w:sz="0" w:space="0" w:color="auto"/>
          </w:divBdr>
        </w:div>
        <w:div w:id="1841850845">
          <w:marLeft w:val="0"/>
          <w:marRight w:val="0"/>
          <w:marTop w:val="0"/>
          <w:marBottom w:val="192"/>
          <w:divBdr>
            <w:top w:val="none" w:sz="0" w:space="0" w:color="auto"/>
            <w:left w:val="none" w:sz="0" w:space="0" w:color="auto"/>
            <w:bottom w:val="none" w:sz="0" w:space="0" w:color="auto"/>
            <w:right w:val="none" w:sz="0" w:space="0" w:color="auto"/>
          </w:divBdr>
        </w:div>
        <w:div w:id="2078359350">
          <w:marLeft w:val="0"/>
          <w:marRight w:val="0"/>
          <w:marTop w:val="0"/>
          <w:marBottom w:val="192"/>
          <w:divBdr>
            <w:top w:val="none" w:sz="0" w:space="0" w:color="auto"/>
            <w:left w:val="none" w:sz="0" w:space="0" w:color="auto"/>
            <w:bottom w:val="none" w:sz="0" w:space="0" w:color="auto"/>
            <w:right w:val="none" w:sz="0" w:space="0" w:color="auto"/>
          </w:divBdr>
        </w:div>
      </w:divsChild>
    </w:div>
    <w:div w:id="503515181">
      <w:bodyDiv w:val="1"/>
      <w:marLeft w:val="0"/>
      <w:marRight w:val="0"/>
      <w:marTop w:val="0"/>
      <w:marBottom w:val="0"/>
      <w:divBdr>
        <w:top w:val="none" w:sz="0" w:space="0" w:color="auto"/>
        <w:left w:val="none" w:sz="0" w:space="0" w:color="auto"/>
        <w:bottom w:val="none" w:sz="0" w:space="0" w:color="auto"/>
        <w:right w:val="none" w:sz="0" w:space="0" w:color="auto"/>
      </w:divBdr>
      <w:divsChild>
        <w:div w:id="1588802993">
          <w:marLeft w:val="0"/>
          <w:marRight w:val="0"/>
          <w:marTop w:val="312"/>
          <w:marBottom w:val="96"/>
          <w:divBdr>
            <w:top w:val="none" w:sz="0" w:space="0" w:color="auto"/>
            <w:left w:val="none" w:sz="0" w:space="0" w:color="auto"/>
            <w:bottom w:val="none" w:sz="0" w:space="0" w:color="auto"/>
            <w:right w:val="none" w:sz="0" w:space="0" w:color="auto"/>
          </w:divBdr>
        </w:div>
        <w:div w:id="1473792528">
          <w:marLeft w:val="0"/>
          <w:marRight w:val="0"/>
          <w:marTop w:val="96"/>
          <w:marBottom w:val="312"/>
          <w:divBdr>
            <w:top w:val="none" w:sz="0" w:space="0" w:color="auto"/>
            <w:left w:val="none" w:sz="0" w:space="0" w:color="auto"/>
            <w:bottom w:val="none" w:sz="0" w:space="0" w:color="auto"/>
            <w:right w:val="none" w:sz="0" w:space="0" w:color="auto"/>
          </w:divBdr>
        </w:div>
        <w:div w:id="1434007559">
          <w:marLeft w:val="0"/>
          <w:marRight w:val="0"/>
          <w:marTop w:val="0"/>
          <w:marBottom w:val="192"/>
          <w:divBdr>
            <w:top w:val="none" w:sz="0" w:space="0" w:color="auto"/>
            <w:left w:val="none" w:sz="0" w:space="0" w:color="auto"/>
            <w:bottom w:val="none" w:sz="0" w:space="0" w:color="auto"/>
            <w:right w:val="none" w:sz="0" w:space="0" w:color="auto"/>
          </w:divBdr>
          <w:divsChild>
            <w:div w:id="1823542142">
              <w:marLeft w:val="0"/>
              <w:marRight w:val="0"/>
              <w:marTop w:val="0"/>
              <w:marBottom w:val="0"/>
              <w:divBdr>
                <w:top w:val="none" w:sz="0" w:space="0" w:color="auto"/>
                <w:left w:val="none" w:sz="0" w:space="0" w:color="auto"/>
                <w:bottom w:val="none" w:sz="0" w:space="0" w:color="auto"/>
                <w:right w:val="none" w:sz="0" w:space="0" w:color="auto"/>
              </w:divBdr>
            </w:div>
            <w:div w:id="1953631631">
              <w:marLeft w:val="624"/>
              <w:marRight w:val="0"/>
              <w:marTop w:val="0"/>
              <w:marBottom w:val="0"/>
              <w:divBdr>
                <w:top w:val="none" w:sz="0" w:space="0" w:color="auto"/>
                <w:left w:val="none" w:sz="0" w:space="0" w:color="auto"/>
                <w:bottom w:val="none" w:sz="0" w:space="0" w:color="auto"/>
                <w:right w:val="none" w:sz="0" w:space="0" w:color="auto"/>
              </w:divBdr>
            </w:div>
            <w:div w:id="1074662953">
              <w:marLeft w:val="624"/>
              <w:marRight w:val="0"/>
              <w:marTop w:val="0"/>
              <w:marBottom w:val="0"/>
              <w:divBdr>
                <w:top w:val="none" w:sz="0" w:space="0" w:color="auto"/>
                <w:left w:val="none" w:sz="0" w:space="0" w:color="auto"/>
                <w:bottom w:val="none" w:sz="0" w:space="0" w:color="auto"/>
                <w:right w:val="none" w:sz="0" w:space="0" w:color="auto"/>
              </w:divBdr>
            </w:div>
          </w:divsChild>
        </w:div>
        <w:div w:id="17463883">
          <w:marLeft w:val="0"/>
          <w:marRight w:val="0"/>
          <w:marTop w:val="0"/>
          <w:marBottom w:val="192"/>
          <w:divBdr>
            <w:top w:val="none" w:sz="0" w:space="0" w:color="auto"/>
            <w:left w:val="none" w:sz="0" w:space="0" w:color="auto"/>
            <w:bottom w:val="none" w:sz="0" w:space="0" w:color="auto"/>
            <w:right w:val="none" w:sz="0" w:space="0" w:color="auto"/>
          </w:divBdr>
        </w:div>
        <w:div w:id="952325871">
          <w:marLeft w:val="0"/>
          <w:marRight w:val="0"/>
          <w:marTop w:val="0"/>
          <w:marBottom w:val="192"/>
          <w:divBdr>
            <w:top w:val="none" w:sz="0" w:space="0" w:color="auto"/>
            <w:left w:val="none" w:sz="0" w:space="0" w:color="auto"/>
            <w:bottom w:val="none" w:sz="0" w:space="0" w:color="auto"/>
            <w:right w:val="none" w:sz="0" w:space="0" w:color="auto"/>
          </w:divBdr>
        </w:div>
        <w:div w:id="1095713084">
          <w:marLeft w:val="0"/>
          <w:marRight w:val="0"/>
          <w:marTop w:val="0"/>
          <w:marBottom w:val="192"/>
          <w:divBdr>
            <w:top w:val="none" w:sz="0" w:space="0" w:color="auto"/>
            <w:left w:val="none" w:sz="0" w:space="0" w:color="auto"/>
            <w:bottom w:val="none" w:sz="0" w:space="0" w:color="auto"/>
            <w:right w:val="none" w:sz="0" w:space="0" w:color="auto"/>
          </w:divBdr>
        </w:div>
        <w:div w:id="1045369682">
          <w:marLeft w:val="0"/>
          <w:marRight w:val="0"/>
          <w:marTop w:val="0"/>
          <w:marBottom w:val="192"/>
          <w:divBdr>
            <w:top w:val="none" w:sz="0" w:space="0" w:color="auto"/>
            <w:left w:val="none" w:sz="0" w:space="0" w:color="auto"/>
            <w:bottom w:val="none" w:sz="0" w:space="0" w:color="auto"/>
            <w:right w:val="none" w:sz="0" w:space="0" w:color="auto"/>
          </w:divBdr>
        </w:div>
        <w:div w:id="1106076132">
          <w:marLeft w:val="0"/>
          <w:marRight w:val="0"/>
          <w:marTop w:val="0"/>
          <w:marBottom w:val="192"/>
          <w:divBdr>
            <w:top w:val="none" w:sz="0" w:space="0" w:color="auto"/>
            <w:left w:val="none" w:sz="0" w:space="0" w:color="auto"/>
            <w:bottom w:val="none" w:sz="0" w:space="0" w:color="auto"/>
            <w:right w:val="none" w:sz="0" w:space="0" w:color="auto"/>
          </w:divBdr>
        </w:div>
        <w:div w:id="122891538">
          <w:marLeft w:val="0"/>
          <w:marRight w:val="0"/>
          <w:marTop w:val="0"/>
          <w:marBottom w:val="192"/>
          <w:divBdr>
            <w:top w:val="none" w:sz="0" w:space="0" w:color="auto"/>
            <w:left w:val="none" w:sz="0" w:space="0" w:color="auto"/>
            <w:bottom w:val="none" w:sz="0" w:space="0" w:color="auto"/>
            <w:right w:val="none" w:sz="0" w:space="0" w:color="auto"/>
          </w:divBdr>
        </w:div>
      </w:divsChild>
    </w:div>
    <w:div w:id="551500846">
      <w:bodyDiv w:val="1"/>
      <w:marLeft w:val="0"/>
      <w:marRight w:val="0"/>
      <w:marTop w:val="0"/>
      <w:marBottom w:val="0"/>
      <w:divBdr>
        <w:top w:val="none" w:sz="0" w:space="0" w:color="auto"/>
        <w:left w:val="none" w:sz="0" w:space="0" w:color="auto"/>
        <w:bottom w:val="none" w:sz="0" w:space="0" w:color="auto"/>
        <w:right w:val="none" w:sz="0" w:space="0" w:color="auto"/>
      </w:divBdr>
      <w:divsChild>
        <w:div w:id="395007513">
          <w:marLeft w:val="0"/>
          <w:marRight w:val="0"/>
          <w:marTop w:val="312"/>
          <w:marBottom w:val="96"/>
          <w:divBdr>
            <w:top w:val="none" w:sz="0" w:space="0" w:color="auto"/>
            <w:left w:val="none" w:sz="0" w:space="0" w:color="auto"/>
            <w:bottom w:val="none" w:sz="0" w:space="0" w:color="auto"/>
            <w:right w:val="none" w:sz="0" w:space="0" w:color="auto"/>
          </w:divBdr>
        </w:div>
      </w:divsChild>
    </w:div>
    <w:div w:id="598830531">
      <w:bodyDiv w:val="1"/>
      <w:marLeft w:val="0"/>
      <w:marRight w:val="0"/>
      <w:marTop w:val="0"/>
      <w:marBottom w:val="0"/>
      <w:divBdr>
        <w:top w:val="none" w:sz="0" w:space="0" w:color="auto"/>
        <w:left w:val="none" w:sz="0" w:space="0" w:color="auto"/>
        <w:bottom w:val="none" w:sz="0" w:space="0" w:color="auto"/>
        <w:right w:val="none" w:sz="0" w:space="0" w:color="auto"/>
      </w:divBdr>
      <w:divsChild>
        <w:div w:id="1128741903">
          <w:marLeft w:val="0"/>
          <w:marRight w:val="0"/>
          <w:marTop w:val="312"/>
          <w:marBottom w:val="96"/>
          <w:divBdr>
            <w:top w:val="none" w:sz="0" w:space="0" w:color="auto"/>
            <w:left w:val="none" w:sz="0" w:space="0" w:color="auto"/>
            <w:bottom w:val="none" w:sz="0" w:space="0" w:color="auto"/>
            <w:right w:val="none" w:sz="0" w:space="0" w:color="auto"/>
          </w:divBdr>
        </w:div>
        <w:div w:id="445319032">
          <w:marLeft w:val="0"/>
          <w:marRight w:val="0"/>
          <w:marTop w:val="0"/>
          <w:marBottom w:val="192"/>
          <w:divBdr>
            <w:top w:val="none" w:sz="0" w:space="0" w:color="auto"/>
            <w:left w:val="none" w:sz="0" w:space="0" w:color="auto"/>
            <w:bottom w:val="none" w:sz="0" w:space="0" w:color="auto"/>
            <w:right w:val="none" w:sz="0" w:space="0" w:color="auto"/>
          </w:divBdr>
        </w:div>
      </w:divsChild>
    </w:div>
    <w:div w:id="601686363">
      <w:bodyDiv w:val="1"/>
      <w:marLeft w:val="0"/>
      <w:marRight w:val="0"/>
      <w:marTop w:val="0"/>
      <w:marBottom w:val="0"/>
      <w:divBdr>
        <w:top w:val="none" w:sz="0" w:space="0" w:color="auto"/>
        <w:left w:val="none" w:sz="0" w:space="0" w:color="auto"/>
        <w:bottom w:val="none" w:sz="0" w:space="0" w:color="auto"/>
        <w:right w:val="none" w:sz="0" w:space="0" w:color="auto"/>
      </w:divBdr>
      <w:divsChild>
        <w:div w:id="847789932">
          <w:marLeft w:val="0"/>
          <w:marRight w:val="0"/>
          <w:marTop w:val="0"/>
          <w:marBottom w:val="0"/>
          <w:divBdr>
            <w:top w:val="none" w:sz="0" w:space="0" w:color="auto"/>
            <w:left w:val="none" w:sz="0" w:space="0" w:color="auto"/>
            <w:bottom w:val="none" w:sz="0" w:space="0" w:color="auto"/>
            <w:right w:val="none" w:sz="0" w:space="0" w:color="auto"/>
          </w:divBdr>
          <w:divsChild>
            <w:div w:id="2024477448">
              <w:marLeft w:val="0"/>
              <w:marRight w:val="0"/>
              <w:marTop w:val="0"/>
              <w:marBottom w:val="0"/>
              <w:divBdr>
                <w:top w:val="none" w:sz="0" w:space="0" w:color="auto"/>
                <w:left w:val="none" w:sz="0" w:space="0" w:color="auto"/>
                <w:bottom w:val="none" w:sz="0" w:space="0" w:color="auto"/>
                <w:right w:val="none" w:sz="0" w:space="0" w:color="auto"/>
              </w:divBdr>
              <w:divsChild>
                <w:div w:id="329597683">
                  <w:marLeft w:val="0"/>
                  <w:marRight w:val="0"/>
                  <w:marTop w:val="0"/>
                  <w:marBottom w:val="0"/>
                  <w:divBdr>
                    <w:top w:val="none" w:sz="0" w:space="0" w:color="auto"/>
                    <w:left w:val="none" w:sz="0" w:space="0" w:color="auto"/>
                    <w:bottom w:val="none" w:sz="0" w:space="0" w:color="auto"/>
                    <w:right w:val="none" w:sz="0" w:space="0" w:color="auto"/>
                  </w:divBdr>
                  <w:divsChild>
                    <w:div w:id="664087682">
                      <w:marLeft w:val="0"/>
                      <w:marRight w:val="0"/>
                      <w:marTop w:val="226"/>
                      <w:marBottom w:val="113"/>
                      <w:divBdr>
                        <w:top w:val="none" w:sz="0" w:space="0" w:color="auto"/>
                        <w:left w:val="none" w:sz="0" w:space="0" w:color="auto"/>
                        <w:bottom w:val="none" w:sz="0" w:space="0" w:color="auto"/>
                        <w:right w:val="none" w:sz="0" w:space="0" w:color="auto"/>
                      </w:divBdr>
                    </w:div>
                  </w:divsChild>
                </w:div>
              </w:divsChild>
            </w:div>
          </w:divsChild>
        </w:div>
        <w:div w:id="1871213753">
          <w:marLeft w:val="0"/>
          <w:marRight w:val="0"/>
          <w:marTop w:val="0"/>
          <w:marBottom w:val="0"/>
          <w:divBdr>
            <w:top w:val="none" w:sz="0" w:space="0" w:color="auto"/>
            <w:left w:val="none" w:sz="0" w:space="0" w:color="auto"/>
            <w:bottom w:val="none" w:sz="0" w:space="0" w:color="auto"/>
            <w:right w:val="none" w:sz="0" w:space="0" w:color="auto"/>
          </w:divBdr>
          <w:divsChild>
            <w:div w:id="461309408">
              <w:marLeft w:val="0"/>
              <w:marRight w:val="0"/>
              <w:marTop w:val="0"/>
              <w:marBottom w:val="0"/>
              <w:divBdr>
                <w:top w:val="none" w:sz="0" w:space="0" w:color="auto"/>
                <w:left w:val="none" w:sz="0" w:space="0" w:color="auto"/>
                <w:bottom w:val="none" w:sz="0" w:space="0" w:color="auto"/>
                <w:right w:val="none" w:sz="0" w:space="0" w:color="auto"/>
              </w:divBdr>
              <w:divsChild>
                <w:div w:id="850948188">
                  <w:marLeft w:val="946"/>
                  <w:marRight w:val="0"/>
                  <w:marTop w:val="0"/>
                  <w:marBottom w:val="0"/>
                  <w:divBdr>
                    <w:top w:val="none" w:sz="0" w:space="0" w:color="auto"/>
                    <w:left w:val="none" w:sz="0" w:space="0" w:color="auto"/>
                    <w:bottom w:val="none" w:sz="0" w:space="0" w:color="auto"/>
                    <w:right w:val="none" w:sz="0" w:space="0" w:color="auto"/>
                  </w:divBdr>
                  <w:divsChild>
                    <w:div w:id="973871400">
                      <w:marLeft w:val="0"/>
                      <w:marRight w:val="850"/>
                      <w:marTop w:val="0"/>
                      <w:marBottom w:val="58"/>
                      <w:divBdr>
                        <w:top w:val="none" w:sz="0" w:space="0" w:color="auto"/>
                        <w:left w:val="none" w:sz="0" w:space="0" w:color="auto"/>
                        <w:bottom w:val="none" w:sz="0" w:space="0" w:color="auto"/>
                        <w:right w:val="none" w:sz="0" w:space="0" w:color="auto"/>
                      </w:divBdr>
                    </w:div>
                  </w:divsChild>
                </w:div>
              </w:divsChild>
            </w:div>
          </w:divsChild>
        </w:div>
        <w:div w:id="1510874018">
          <w:marLeft w:val="0"/>
          <w:marRight w:val="0"/>
          <w:marTop w:val="0"/>
          <w:marBottom w:val="0"/>
          <w:divBdr>
            <w:top w:val="none" w:sz="0" w:space="0" w:color="auto"/>
            <w:left w:val="none" w:sz="0" w:space="0" w:color="auto"/>
            <w:bottom w:val="none" w:sz="0" w:space="0" w:color="auto"/>
            <w:right w:val="none" w:sz="0" w:space="0" w:color="auto"/>
          </w:divBdr>
          <w:divsChild>
            <w:div w:id="847254188">
              <w:marLeft w:val="0"/>
              <w:marRight w:val="0"/>
              <w:marTop w:val="0"/>
              <w:marBottom w:val="0"/>
              <w:divBdr>
                <w:top w:val="none" w:sz="0" w:space="0" w:color="auto"/>
                <w:left w:val="none" w:sz="0" w:space="0" w:color="auto"/>
                <w:bottom w:val="none" w:sz="0" w:space="0" w:color="auto"/>
                <w:right w:val="none" w:sz="0" w:space="0" w:color="auto"/>
              </w:divBdr>
              <w:divsChild>
                <w:div w:id="1185630204">
                  <w:marLeft w:val="0"/>
                  <w:marRight w:val="0"/>
                  <w:marTop w:val="0"/>
                  <w:marBottom w:val="0"/>
                  <w:divBdr>
                    <w:top w:val="none" w:sz="0" w:space="0" w:color="auto"/>
                    <w:left w:val="none" w:sz="0" w:space="0" w:color="auto"/>
                    <w:bottom w:val="none" w:sz="0" w:space="0" w:color="auto"/>
                    <w:right w:val="none" w:sz="0" w:space="0" w:color="auto"/>
                  </w:divBdr>
                  <w:divsChild>
                    <w:div w:id="305478338">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 w:id="606887932">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3">
          <w:marLeft w:val="0"/>
          <w:marRight w:val="0"/>
          <w:marTop w:val="312"/>
          <w:marBottom w:val="96"/>
          <w:divBdr>
            <w:top w:val="none" w:sz="0" w:space="0" w:color="auto"/>
            <w:left w:val="none" w:sz="0" w:space="0" w:color="auto"/>
            <w:bottom w:val="none" w:sz="0" w:space="0" w:color="auto"/>
            <w:right w:val="none" w:sz="0" w:space="0" w:color="auto"/>
          </w:divBdr>
        </w:div>
        <w:div w:id="701396895">
          <w:marLeft w:val="0"/>
          <w:marRight w:val="0"/>
          <w:marTop w:val="96"/>
          <w:marBottom w:val="312"/>
          <w:divBdr>
            <w:top w:val="none" w:sz="0" w:space="0" w:color="auto"/>
            <w:left w:val="none" w:sz="0" w:space="0" w:color="auto"/>
            <w:bottom w:val="none" w:sz="0" w:space="0" w:color="auto"/>
            <w:right w:val="none" w:sz="0" w:space="0" w:color="auto"/>
          </w:divBdr>
        </w:div>
        <w:div w:id="1031342962">
          <w:marLeft w:val="0"/>
          <w:marRight w:val="0"/>
          <w:marTop w:val="0"/>
          <w:marBottom w:val="192"/>
          <w:divBdr>
            <w:top w:val="none" w:sz="0" w:space="0" w:color="auto"/>
            <w:left w:val="none" w:sz="0" w:space="0" w:color="auto"/>
            <w:bottom w:val="none" w:sz="0" w:space="0" w:color="auto"/>
            <w:right w:val="none" w:sz="0" w:space="0" w:color="auto"/>
          </w:divBdr>
        </w:div>
        <w:div w:id="712076957">
          <w:marLeft w:val="0"/>
          <w:marRight w:val="0"/>
          <w:marTop w:val="0"/>
          <w:marBottom w:val="192"/>
          <w:divBdr>
            <w:top w:val="none" w:sz="0" w:space="0" w:color="auto"/>
            <w:left w:val="none" w:sz="0" w:space="0" w:color="auto"/>
            <w:bottom w:val="none" w:sz="0" w:space="0" w:color="auto"/>
            <w:right w:val="none" w:sz="0" w:space="0" w:color="auto"/>
          </w:divBdr>
        </w:div>
      </w:divsChild>
    </w:div>
    <w:div w:id="633800297">
      <w:bodyDiv w:val="1"/>
      <w:marLeft w:val="0"/>
      <w:marRight w:val="0"/>
      <w:marTop w:val="0"/>
      <w:marBottom w:val="0"/>
      <w:divBdr>
        <w:top w:val="none" w:sz="0" w:space="0" w:color="auto"/>
        <w:left w:val="none" w:sz="0" w:space="0" w:color="auto"/>
        <w:bottom w:val="none" w:sz="0" w:space="0" w:color="auto"/>
        <w:right w:val="none" w:sz="0" w:space="0" w:color="auto"/>
      </w:divBdr>
      <w:divsChild>
        <w:div w:id="1823698825">
          <w:marLeft w:val="0"/>
          <w:marRight w:val="0"/>
          <w:marTop w:val="96"/>
          <w:marBottom w:val="312"/>
          <w:divBdr>
            <w:top w:val="none" w:sz="0" w:space="0" w:color="auto"/>
            <w:left w:val="none" w:sz="0" w:space="0" w:color="auto"/>
            <w:bottom w:val="none" w:sz="0" w:space="0" w:color="auto"/>
            <w:right w:val="none" w:sz="0" w:space="0" w:color="auto"/>
          </w:divBdr>
        </w:div>
        <w:div w:id="1627157676">
          <w:marLeft w:val="0"/>
          <w:marRight w:val="0"/>
          <w:marTop w:val="0"/>
          <w:marBottom w:val="192"/>
          <w:divBdr>
            <w:top w:val="none" w:sz="0" w:space="0" w:color="auto"/>
            <w:left w:val="none" w:sz="0" w:space="0" w:color="auto"/>
            <w:bottom w:val="none" w:sz="0" w:space="0" w:color="auto"/>
            <w:right w:val="none" w:sz="0" w:space="0" w:color="auto"/>
          </w:divBdr>
          <w:divsChild>
            <w:div w:id="1911423165">
              <w:marLeft w:val="624"/>
              <w:marRight w:val="0"/>
              <w:marTop w:val="0"/>
              <w:marBottom w:val="0"/>
              <w:divBdr>
                <w:top w:val="none" w:sz="0" w:space="0" w:color="auto"/>
                <w:left w:val="none" w:sz="0" w:space="0" w:color="auto"/>
                <w:bottom w:val="none" w:sz="0" w:space="0" w:color="auto"/>
                <w:right w:val="none" w:sz="0" w:space="0" w:color="auto"/>
              </w:divBdr>
            </w:div>
            <w:div w:id="1277366382">
              <w:marLeft w:val="624"/>
              <w:marRight w:val="0"/>
              <w:marTop w:val="0"/>
              <w:marBottom w:val="0"/>
              <w:divBdr>
                <w:top w:val="none" w:sz="0" w:space="0" w:color="auto"/>
                <w:left w:val="none" w:sz="0" w:space="0" w:color="auto"/>
                <w:bottom w:val="none" w:sz="0" w:space="0" w:color="auto"/>
                <w:right w:val="none" w:sz="0" w:space="0" w:color="auto"/>
              </w:divBdr>
            </w:div>
          </w:divsChild>
        </w:div>
        <w:div w:id="424770199">
          <w:marLeft w:val="0"/>
          <w:marRight w:val="0"/>
          <w:marTop w:val="0"/>
          <w:marBottom w:val="192"/>
          <w:divBdr>
            <w:top w:val="none" w:sz="0" w:space="0" w:color="auto"/>
            <w:left w:val="none" w:sz="0" w:space="0" w:color="auto"/>
            <w:bottom w:val="none" w:sz="0" w:space="0" w:color="auto"/>
            <w:right w:val="none" w:sz="0" w:space="0" w:color="auto"/>
          </w:divBdr>
        </w:div>
        <w:div w:id="418525895">
          <w:marLeft w:val="0"/>
          <w:marRight w:val="0"/>
          <w:marTop w:val="0"/>
          <w:marBottom w:val="192"/>
          <w:divBdr>
            <w:top w:val="none" w:sz="0" w:space="0" w:color="auto"/>
            <w:left w:val="none" w:sz="0" w:space="0" w:color="auto"/>
            <w:bottom w:val="none" w:sz="0" w:space="0" w:color="auto"/>
            <w:right w:val="none" w:sz="0" w:space="0" w:color="auto"/>
          </w:divBdr>
        </w:div>
        <w:div w:id="600376055">
          <w:marLeft w:val="0"/>
          <w:marRight w:val="0"/>
          <w:marTop w:val="0"/>
          <w:marBottom w:val="192"/>
          <w:divBdr>
            <w:top w:val="none" w:sz="0" w:space="0" w:color="auto"/>
            <w:left w:val="none" w:sz="0" w:space="0" w:color="auto"/>
            <w:bottom w:val="none" w:sz="0" w:space="0" w:color="auto"/>
            <w:right w:val="none" w:sz="0" w:space="0" w:color="auto"/>
          </w:divBdr>
        </w:div>
        <w:div w:id="1256355364">
          <w:marLeft w:val="0"/>
          <w:marRight w:val="0"/>
          <w:marTop w:val="0"/>
          <w:marBottom w:val="192"/>
          <w:divBdr>
            <w:top w:val="none" w:sz="0" w:space="0" w:color="auto"/>
            <w:left w:val="none" w:sz="0" w:space="0" w:color="auto"/>
            <w:bottom w:val="none" w:sz="0" w:space="0" w:color="auto"/>
            <w:right w:val="none" w:sz="0" w:space="0" w:color="auto"/>
          </w:divBdr>
        </w:div>
        <w:div w:id="1814056859">
          <w:marLeft w:val="0"/>
          <w:marRight w:val="0"/>
          <w:marTop w:val="0"/>
          <w:marBottom w:val="192"/>
          <w:divBdr>
            <w:top w:val="none" w:sz="0" w:space="0" w:color="auto"/>
            <w:left w:val="none" w:sz="0" w:space="0" w:color="auto"/>
            <w:bottom w:val="none" w:sz="0" w:space="0" w:color="auto"/>
            <w:right w:val="none" w:sz="0" w:space="0" w:color="auto"/>
          </w:divBdr>
        </w:div>
        <w:div w:id="526679553">
          <w:marLeft w:val="0"/>
          <w:marRight w:val="0"/>
          <w:marTop w:val="0"/>
          <w:marBottom w:val="192"/>
          <w:divBdr>
            <w:top w:val="none" w:sz="0" w:space="0" w:color="auto"/>
            <w:left w:val="none" w:sz="0" w:space="0" w:color="auto"/>
            <w:bottom w:val="none" w:sz="0" w:space="0" w:color="auto"/>
            <w:right w:val="none" w:sz="0" w:space="0" w:color="auto"/>
          </w:divBdr>
        </w:div>
      </w:divsChild>
    </w:div>
    <w:div w:id="665062214">
      <w:bodyDiv w:val="1"/>
      <w:marLeft w:val="0"/>
      <w:marRight w:val="0"/>
      <w:marTop w:val="0"/>
      <w:marBottom w:val="0"/>
      <w:divBdr>
        <w:top w:val="none" w:sz="0" w:space="0" w:color="auto"/>
        <w:left w:val="none" w:sz="0" w:space="0" w:color="auto"/>
        <w:bottom w:val="none" w:sz="0" w:space="0" w:color="auto"/>
        <w:right w:val="none" w:sz="0" w:space="0" w:color="auto"/>
      </w:divBdr>
      <w:divsChild>
        <w:div w:id="144511134">
          <w:marLeft w:val="0"/>
          <w:marRight w:val="0"/>
          <w:marTop w:val="96"/>
          <w:marBottom w:val="312"/>
          <w:divBdr>
            <w:top w:val="none" w:sz="0" w:space="0" w:color="auto"/>
            <w:left w:val="none" w:sz="0" w:space="0" w:color="auto"/>
            <w:bottom w:val="none" w:sz="0" w:space="0" w:color="auto"/>
            <w:right w:val="none" w:sz="0" w:space="0" w:color="auto"/>
          </w:divBdr>
        </w:div>
        <w:div w:id="302008845">
          <w:marLeft w:val="0"/>
          <w:marRight w:val="0"/>
          <w:marTop w:val="0"/>
          <w:marBottom w:val="192"/>
          <w:divBdr>
            <w:top w:val="none" w:sz="0" w:space="0" w:color="auto"/>
            <w:left w:val="none" w:sz="0" w:space="0" w:color="auto"/>
            <w:bottom w:val="none" w:sz="0" w:space="0" w:color="auto"/>
            <w:right w:val="none" w:sz="0" w:space="0" w:color="auto"/>
          </w:divBdr>
          <w:divsChild>
            <w:div w:id="466439331">
              <w:marLeft w:val="624"/>
              <w:marRight w:val="0"/>
              <w:marTop w:val="0"/>
              <w:marBottom w:val="0"/>
              <w:divBdr>
                <w:top w:val="none" w:sz="0" w:space="0" w:color="auto"/>
                <w:left w:val="none" w:sz="0" w:space="0" w:color="auto"/>
                <w:bottom w:val="none" w:sz="0" w:space="0" w:color="auto"/>
                <w:right w:val="none" w:sz="0" w:space="0" w:color="auto"/>
              </w:divBdr>
            </w:div>
            <w:div w:id="569272665">
              <w:marLeft w:val="624"/>
              <w:marRight w:val="0"/>
              <w:marTop w:val="0"/>
              <w:marBottom w:val="0"/>
              <w:divBdr>
                <w:top w:val="none" w:sz="0" w:space="0" w:color="auto"/>
                <w:left w:val="none" w:sz="0" w:space="0" w:color="auto"/>
                <w:bottom w:val="none" w:sz="0" w:space="0" w:color="auto"/>
                <w:right w:val="none" w:sz="0" w:space="0" w:color="auto"/>
              </w:divBdr>
            </w:div>
          </w:divsChild>
        </w:div>
        <w:div w:id="1965233170">
          <w:marLeft w:val="0"/>
          <w:marRight w:val="0"/>
          <w:marTop w:val="0"/>
          <w:marBottom w:val="192"/>
          <w:divBdr>
            <w:top w:val="none" w:sz="0" w:space="0" w:color="auto"/>
            <w:left w:val="none" w:sz="0" w:space="0" w:color="auto"/>
            <w:bottom w:val="none" w:sz="0" w:space="0" w:color="auto"/>
            <w:right w:val="none" w:sz="0" w:space="0" w:color="auto"/>
          </w:divBdr>
        </w:div>
        <w:div w:id="49349312">
          <w:marLeft w:val="0"/>
          <w:marRight w:val="0"/>
          <w:marTop w:val="0"/>
          <w:marBottom w:val="192"/>
          <w:divBdr>
            <w:top w:val="none" w:sz="0" w:space="0" w:color="auto"/>
            <w:left w:val="none" w:sz="0" w:space="0" w:color="auto"/>
            <w:bottom w:val="none" w:sz="0" w:space="0" w:color="auto"/>
            <w:right w:val="none" w:sz="0" w:space="0" w:color="auto"/>
          </w:divBdr>
        </w:div>
        <w:div w:id="43481166">
          <w:marLeft w:val="0"/>
          <w:marRight w:val="0"/>
          <w:marTop w:val="0"/>
          <w:marBottom w:val="192"/>
          <w:divBdr>
            <w:top w:val="none" w:sz="0" w:space="0" w:color="auto"/>
            <w:left w:val="none" w:sz="0" w:space="0" w:color="auto"/>
            <w:bottom w:val="none" w:sz="0" w:space="0" w:color="auto"/>
            <w:right w:val="none" w:sz="0" w:space="0" w:color="auto"/>
          </w:divBdr>
        </w:div>
        <w:div w:id="1708412157">
          <w:marLeft w:val="0"/>
          <w:marRight w:val="0"/>
          <w:marTop w:val="0"/>
          <w:marBottom w:val="192"/>
          <w:divBdr>
            <w:top w:val="none" w:sz="0" w:space="0" w:color="auto"/>
            <w:left w:val="none" w:sz="0" w:space="0" w:color="auto"/>
            <w:bottom w:val="none" w:sz="0" w:space="0" w:color="auto"/>
            <w:right w:val="none" w:sz="0" w:space="0" w:color="auto"/>
          </w:divBdr>
        </w:div>
      </w:divsChild>
    </w:div>
    <w:div w:id="667052535">
      <w:bodyDiv w:val="1"/>
      <w:marLeft w:val="0"/>
      <w:marRight w:val="0"/>
      <w:marTop w:val="0"/>
      <w:marBottom w:val="0"/>
      <w:divBdr>
        <w:top w:val="none" w:sz="0" w:space="0" w:color="auto"/>
        <w:left w:val="none" w:sz="0" w:space="0" w:color="auto"/>
        <w:bottom w:val="none" w:sz="0" w:space="0" w:color="auto"/>
        <w:right w:val="none" w:sz="0" w:space="0" w:color="auto"/>
      </w:divBdr>
      <w:divsChild>
        <w:div w:id="2126999179">
          <w:marLeft w:val="0"/>
          <w:marRight w:val="0"/>
          <w:marTop w:val="312"/>
          <w:marBottom w:val="96"/>
          <w:divBdr>
            <w:top w:val="none" w:sz="0" w:space="0" w:color="auto"/>
            <w:left w:val="none" w:sz="0" w:space="0" w:color="auto"/>
            <w:bottom w:val="none" w:sz="0" w:space="0" w:color="auto"/>
            <w:right w:val="none" w:sz="0" w:space="0" w:color="auto"/>
          </w:divBdr>
        </w:div>
        <w:div w:id="1917124814">
          <w:marLeft w:val="0"/>
          <w:marRight w:val="0"/>
          <w:marTop w:val="96"/>
          <w:marBottom w:val="312"/>
          <w:divBdr>
            <w:top w:val="none" w:sz="0" w:space="0" w:color="auto"/>
            <w:left w:val="none" w:sz="0" w:space="0" w:color="auto"/>
            <w:bottom w:val="none" w:sz="0" w:space="0" w:color="auto"/>
            <w:right w:val="none" w:sz="0" w:space="0" w:color="auto"/>
          </w:divBdr>
        </w:div>
        <w:div w:id="493375234">
          <w:marLeft w:val="0"/>
          <w:marRight w:val="0"/>
          <w:marTop w:val="0"/>
          <w:marBottom w:val="192"/>
          <w:divBdr>
            <w:top w:val="none" w:sz="0" w:space="0" w:color="auto"/>
            <w:left w:val="none" w:sz="0" w:space="0" w:color="auto"/>
            <w:bottom w:val="none" w:sz="0" w:space="0" w:color="auto"/>
            <w:right w:val="none" w:sz="0" w:space="0" w:color="auto"/>
          </w:divBdr>
          <w:divsChild>
            <w:div w:id="1977831494">
              <w:marLeft w:val="0"/>
              <w:marRight w:val="0"/>
              <w:marTop w:val="0"/>
              <w:marBottom w:val="0"/>
              <w:divBdr>
                <w:top w:val="none" w:sz="0" w:space="0" w:color="auto"/>
                <w:left w:val="none" w:sz="0" w:space="0" w:color="auto"/>
                <w:bottom w:val="none" w:sz="0" w:space="0" w:color="auto"/>
                <w:right w:val="none" w:sz="0" w:space="0" w:color="auto"/>
              </w:divBdr>
            </w:div>
            <w:div w:id="925846380">
              <w:marLeft w:val="624"/>
              <w:marRight w:val="0"/>
              <w:marTop w:val="0"/>
              <w:marBottom w:val="0"/>
              <w:divBdr>
                <w:top w:val="none" w:sz="0" w:space="0" w:color="auto"/>
                <w:left w:val="none" w:sz="0" w:space="0" w:color="auto"/>
                <w:bottom w:val="none" w:sz="0" w:space="0" w:color="auto"/>
                <w:right w:val="none" w:sz="0" w:space="0" w:color="auto"/>
              </w:divBdr>
            </w:div>
            <w:div w:id="196629814">
              <w:marLeft w:val="624"/>
              <w:marRight w:val="0"/>
              <w:marTop w:val="0"/>
              <w:marBottom w:val="0"/>
              <w:divBdr>
                <w:top w:val="none" w:sz="0" w:space="0" w:color="auto"/>
                <w:left w:val="none" w:sz="0" w:space="0" w:color="auto"/>
                <w:bottom w:val="none" w:sz="0" w:space="0" w:color="auto"/>
                <w:right w:val="none" w:sz="0" w:space="0" w:color="auto"/>
              </w:divBdr>
            </w:div>
          </w:divsChild>
        </w:div>
        <w:div w:id="612592306">
          <w:marLeft w:val="0"/>
          <w:marRight w:val="0"/>
          <w:marTop w:val="0"/>
          <w:marBottom w:val="192"/>
          <w:divBdr>
            <w:top w:val="none" w:sz="0" w:space="0" w:color="auto"/>
            <w:left w:val="none" w:sz="0" w:space="0" w:color="auto"/>
            <w:bottom w:val="none" w:sz="0" w:space="0" w:color="auto"/>
            <w:right w:val="none" w:sz="0" w:space="0" w:color="auto"/>
          </w:divBdr>
        </w:div>
        <w:div w:id="1565066065">
          <w:marLeft w:val="0"/>
          <w:marRight w:val="0"/>
          <w:marTop w:val="0"/>
          <w:marBottom w:val="192"/>
          <w:divBdr>
            <w:top w:val="none" w:sz="0" w:space="0" w:color="auto"/>
            <w:left w:val="none" w:sz="0" w:space="0" w:color="auto"/>
            <w:bottom w:val="none" w:sz="0" w:space="0" w:color="auto"/>
            <w:right w:val="none" w:sz="0" w:space="0" w:color="auto"/>
          </w:divBdr>
        </w:div>
        <w:div w:id="966349069">
          <w:marLeft w:val="0"/>
          <w:marRight w:val="0"/>
          <w:marTop w:val="0"/>
          <w:marBottom w:val="192"/>
          <w:divBdr>
            <w:top w:val="none" w:sz="0" w:space="0" w:color="auto"/>
            <w:left w:val="none" w:sz="0" w:space="0" w:color="auto"/>
            <w:bottom w:val="none" w:sz="0" w:space="0" w:color="auto"/>
            <w:right w:val="none" w:sz="0" w:space="0" w:color="auto"/>
          </w:divBdr>
        </w:div>
        <w:div w:id="2006857011">
          <w:marLeft w:val="0"/>
          <w:marRight w:val="0"/>
          <w:marTop w:val="0"/>
          <w:marBottom w:val="192"/>
          <w:divBdr>
            <w:top w:val="none" w:sz="0" w:space="0" w:color="auto"/>
            <w:left w:val="none" w:sz="0" w:space="0" w:color="auto"/>
            <w:bottom w:val="none" w:sz="0" w:space="0" w:color="auto"/>
            <w:right w:val="none" w:sz="0" w:space="0" w:color="auto"/>
          </w:divBdr>
        </w:div>
        <w:div w:id="76483748">
          <w:marLeft w:val="0"/>
          <w:marRight w:val="0"/>
          <w:marTop w:val="0"/>
          <w:marBottom w:val="192"/>
          <w:divBdr>
            <w:top w:val="none" w:sz="0" w:space="0" w:color="auto"/>
            <w:left w:val="none" w:sz="0" w:space="0" w:color="auto"/>
            <w:bottom w:val="none" w:sz="0" w:space="0" w:color="auto"/>
            <w:right w:val="none" w:sz="0" w:space="0" w:color="auto"/>
          </w:divBdr>
        </w:div>
        <w:div w:id="94637101">
          <w:marLeft w:val="0"/>
          <w:marRight w:val="0"/>
          <w:marTop w:val="0"/>
          <w:marBottom w:val="192"/>
          <w:divBdr>
            <w:top w:val="none" w:sz="0" w:space="0" w:color="auto"/>
            <w:left w:val="none" w:sz="0" w:space="0" w:color="auto"/>
            <w:bottom w:val="none" w:sz="0" w:space="0" w:color="auto"/>
            <w:right w:val="none" w:sz="0" w:space="0" w:color="auto"/>
          </w:divBdr>
        </w:div>
      </w:divsChild>
    </w:div>
    <w:div w:id="693193689">
      <w:bodyDiv w:val="1"/>
      <w:marLeft w:val="0"/>
      <w:marRight w:val="0"/>
      <w:marTop w:val="0"/>
      <w:marBottom w:val="0"/>
      <w:divBdr>
        <w:top w:val="none" w:sz="0" w:space="0" w:color="auto"/>
        <w:left w:val="none" w:sz="0" w:space="0" w:color="auto"/>
        <w:bottom w:val="none" w:sz="0" w:space="0" w:color="auto"/>
        <w:right w:val="none" w:sz="0" w:space="0" w:color="auto"/>
      </w:divBdr>
    </w:div>
    <w:div w:id="719013114">
      <w:bodyDiv w:val="1"/>
      <w:marLeft w:val="0"/>
      <w:marRight w:val="0"/>
      <w:marTop w:val="0"/>
      <w:marBottom w:val="0"/>
      <w:divBdr>
        <w:top w:val="none" w:sz="0" w:space="0" w:color="auto"/>
        <w:left w:val="none" w:sz="0" w:space="0" w:color="auto"/>
        <w:bottom w:val="none" w:sz="0" w:space="0" w:color="auto"/>
        <w:right w:val="none" w:sz="0" w:space="0" w:color="auto"/>
      </w:divBdr>
      <w:divsChild>
        <w:div w:id="714818081">
          <w:marLeft w:val="0"/>
          <w:marRight w:val="0"/>
          <w:marTop w:val="312"/>
          <w:marBottom w:val="96"/>
          <w:divBdr>
            <w:top w:val="none" w:sz="0" w:space="0" w:color="auto"/>
            <w:left w:val="none" w:sz="0" w:space="0" w:color="auto"/>
            <w:bottom w:val="none" w:sz="0" w:space="0" w:color="auto"/>
            <w:right w:val="none" w:sz="0" w:space="0" w:color="auto"/>
          </w:divBdr>
        </w:div>
        <w:div w:id="334964407">
          <w:marLeft w:val="0"/>
          <w:marRight w:val="0"/>
          <w:marTop w:val="0"/>
          <w:marBottom w:val="192"/>
          <w:divBdr>
            <w:top w:val="none" w:sz="0" w:space="0" w:color="auto"/>
            <w:left w:val="none" w:sz="0" w:space="0" w:color="auto"/>
            <w:bottom w:val="none" w:sz="0" w:space="0" w:color="auto"/>
            <w:right w:val="none" w:sz="0" w:space="0" w:color="auto"/>
          </w:divBdr>
        </w:div>
        <w:div w:id="1555696131">
          <w:marLeft w:val="0"/>
          <w:marRight w:val="0"/>
          <w:marTop w:val="0"/>
          <w:marBottom w:val="192"/>
          <w:divBdr>
            <w:top w:val="none" w:sz="0" w:space="0" w:color="auto"/>
            <w:left w:val="none" w:sz="0" w:space="0" w:color="auto"/>
            <w:bottom w:val="none" w:sz="0" w:space="0" w:color="auto"/>
            <w:right w:val="none" w:sz="0" w:space="0" w:color="auto"/>
          </w:divBdr>
        </w:div>
      </w:divsChild>
    </w:div>
    <w:div w:id="740442800">
      <w:bodyDiv w:val="1"/>
      <w:marLeft w:val="0"/>
      <w:marRight w:val="0"/>
      <w:marTop w:val="0"/>
      <w:marBottom w:val="0"/>
      <w:divBdr>
        <w:top w:val="none" w:sz="0" w:space="0" w:color="auto"/>
        <w:left w:val="none" w:sz="0" w:space="0" w:color="auto"/>
        <w:bottom w:val="none" w:sz="0" w:space="0" w:color="auto"/>
        <w:right w:val="none" w:sz="0" w:space="0" w:color="auto"/>
      </w:divBdr>
      <w:divsChild>
        <w:div w:id="689992164">
          <w:marLeft w:val="0"/>
          <w:marRight w:val="0"/>
          <w:marTop w:val="312"/>
          <w:marBottom w:val="96"/>
          <w:divBdr>
            <w:top w:val="none" w:sz="0" w:space="0" w:color="auto"/>
            <w:left w:val="none" w:sz="0" w:space="0" w:color="auto"/>
            <w:bottom w:val="none" w:sz="0" w:space="0" w:color="auto"/>
            <w:right w:val="none" w:sz="0" w:space="0" w:color="auto"/>
          </w:divBdr>
        </w:div>
        <w:div w:id="1651787555">
          <w:marLeft w:val="0"/>
          <w:marRight w:val="0"/>
          <w:marTop w:val="0"/>
          <w:marBottom w:val="192"/>
          <w:divBdr>
            <w:top w:val="none" w:sz="0" w:space="0" w:color="auto"/>
            <w:left w:val="none" w:sz="0" w:space="0" w:color="auto"/>
            <w:bottom w:val="none" w:sz="0" w:space="0" w:color="auto"/>
            <w:right w:val="none" w:sz="0" w:space="0" w:color="auto"/>
          </w:divBdr>
        </w:div>
        <w:div w:id="801771576">
          <w:marLeft w:val="0"/>
          <w:marRight w:val="0"/>
          <w:marTop w:val="0"/>
          <w:marBottom w:val="192"/>
          <w:divBdr>
            <w:top w:val="none" w:sz="0" w:space="0" w:color="auto"/>
            <w:left w:val="none" w:sz="0" w:space="0" w:color="auto"/>
            <w:bottom w:val="none" w:sz="0" w:space="0" w:color="auto"/>
            <w:right w:val="none" w:sz="0" w:space="0" w:color="auto"/>
          </w:divBdr>
        </w:div>
        <w:div w:id="906036169">
          <w:marLeft w:val="0"/>
          <w:marRight w:val="0"/>
          <w:marTop w:val="0"/>
          <w:marBottom w:val="192"/>
          <w:divBdr>
            <w:top w:val="none" w:sz="0" w:space="0" w:color="auto"/>
            <w:left w:val="none" w:sz="0" w:space="0" w:color="auto"/>
            <w:bottom w:val="none" w:sz="0" w:space="0" w:color="auto"/>
            <w:right w:val="none" w:sz="0" w:space="0" w:color="auto"/>
          </w:divBdr>
          <w:divsChild>
            <w:div w:id="1128662152">
              <w:marLeft w:val="0"/>
              <w:marRight w:val="0"/>
              <w:marTop w:val="0"/>
              <w:marBottom w:val="0"/>
              <w:divBdr>
                <w:top w:val="none" w:sz="0" w:space="0" w:color="auto"/>
                <w:left w:val="none" w:sz="0" w:space="0" w:color="auto"/>
                <w:bottom w:val="none" w:sz="0" w:space="0" w:color="auto"/>
                <w:right w:val="none" w:sz="0" w:space="0" w:color="auto"/>
              </w:divBdr>
            </w:div>
            <w:div w:id="1438913002">
              <w:marLeft w:val="624"/>
              <w:marRight w:val="0"/>
              <w:marTop w:val="0"/>
              <w:marBottom w:val="0"/>
              <w:divBdr>
                <w:top w:val="none" w:sz="0" w:space="0" w:color="auto"/>
                <w:left w:val="none" w:sz="0" w:space="0" w:color="auto"/>
                <w:bottom w:val="none" w:sz="0" w:space="0" w:color="auto"/>
                <w:right w:val="none" w:sz="0" w:space="0" w:color="auto"/>
              </w:divBdr>
            </w:div>
            <w:div w:id="1175344770">
              <w:marLeft w:val="624"/>
              <w:marRight w:val="0"/>
              <w:marTop w:val="0"/>
              <w:marBottom w:val="0"/>
              <w:divBdr>
                <w:top w:val="none" w:sz="0" w:space="0" w:color="auto"/>
                <w:left w:val="none" w:sz="0" w:space="0" w:color="auto"/>
                <w:bottom w:val="none" w:sz="0" w:space="0" w:color="auto"/>
                <w:right w:val="none" w:sz="0" w:space="0" w:color="auto"/>
              </w:divBdr>
            </w:div>
            <w:div w:id="1799226436">
              <w:marLeft w:val="624"/>
              <w:marRight w:val="0"/>
              <w:marTop w:val="0"/>
              <w:marBottom w:val="0"/>
              <w:divBdr>
                <w:top w:val="none" w:sz="0" w:space="0" w:color="auto"/>
                <w:left w:val="none" w:sz="0" w:space="0" w:color="auto"/>
                <w:bottom w:val="none" w:sz="0" w:space="0" w:color="auto"/>
                <w:right w:val="none" w:sz="0" w:space="0" w:color="auto"/>
              </w:divBdr>
            </w:div>
          </w:divsChild>
        </w:div>
        <w:div w:id="1238327694">
          <w:marLeft w:val="0"/>
          <w:marRight w:val="0"/>
          <w:marTop w:val="0"/>
          <w:marBottom w:val="192"/>
          <w:divBdr>
            <w:top w:val="none" w:sz="0" w:space="0" w:color="auto"/>
            <w:left w:val="none" w:sz="0" w:space="0" w:color="auto"/>
            <w:bottom w:val="none" w:sz="0" w:space="0" w:color="auto"/>
            <w:right w:val="none" w:sz="0" w:space="0" w:color="auto"/>
          </w:divBdr>
        </w:div>
        <w:div w:id="546840616">
          <w:marLeft w:val="0"/>
          <w:marRight w:val="0"/>
          <w:marTop w:val="0"/>
          <w:marBottom w:val="192"/>
          <w:divBdr>
            <w:top w:val="none" w:sz="0" w:space="0" w:color="auto"/>
            <w:left w:val="none" w:sz="0" w:space="0" w:color="auto"/>
            <w:bottom w:val="none" w:sz="0" w:space="0" w:color="auto"/>
            <w:right w:val="none" w:sz="0" w:space="0" w:color="auto"/>
          </w:divBdr>
        </w:div>
      </w:divsChild>
    </w:div>
    <w:div w:id="747536342">
      <w:bodyDiv w:val="1"/>
      <w:marLeft w:val="0"/>
      <w:marRight w:val="0"/>
      <w:marTop w:val="0"/>
      <w:marBottom w:val="0"/>
      <w:divBdr>
        <w:top w:val="none" w:sz="0" w:space="0" w:color="auto"/>
        <w:left w:val="none" w:sz="0" w:space="0" w:color="auto"/>
        <w:bottom w:val="none" w:sz="0" w:space="0" w:color="auto"/>
        <w:right w:val="none" w:sz="0" w:space="0" w:color="auto"/>
      </w:divBdr>
    </w:div>
    <w:div w:id="757336416">
      <w:bodyDiv w:val="1"/>
      <w:marLeft w:val="0"/>
      <w:marRight w:val="0"/>
      <w:marTop w:val="0"/>
      <w:marBottom w:val="0"/>
      <w:divBdr>
        <w:top w:val="none" w:sz="0" w:space="0" w:color="auto"/>
        <w:left w:val="none" w:sz="0" w:space="0" w:color="auto"/>
        <w:bottom w:val="none" w:sz="0" w:space="0" w:color="auto"/>
        <w:right w:val="none" w:sz="0" w:space="0" w:color="auto"/>
      </w:divBdr>
      <w:divsChild>
        <w:div w:id="1718504958">
          <w:marLeft w:val="0"/>
          <w:marRight w:val="0"/>
          <w:marTop w:val="312"/>
          <w:marBottom w:val="96"/>
          <w:divBdr>
            <w:top w:val="none" w:sz="0" w:space="0" w:color="auto"/>
            <w:left w:val="none" w:sz="0" w:space="0" w:color="auto"/>
            <w:bottom w:val="none" w:sz="0" w:space="0" w:color="auto"/>
            <w:right w:val="none" w:sz="0" w:space="0" w:color="auto"/>
          </w:divBdr>
        </w:div>
        <w:div w:id="610432116">
          <w:marLeft w:val="0"/>
          <w:marRight w:val="0"/>
          <w:marTop w:val="0"/>
          <w:marBottom w:val="192"/>
          <w:divBdr>
            <w:top w:val="none" w:sz="0" w:space="0" w:color="auto"/>
            <w:left w:val="none" w:sz="0" w:space="0" w:color="auto"/>
            <w:bottom w:val="none" w:sz="0" w:space="0" w:color="auto"/>
            <w:right w:val="none" w:sz="0" w:space="0" w:color="auto"/>
          </w:divBdr>
        </w:div>
        <w:div w:id="712653336">
          <w:marLeft w:val="0"/>
          <w:marRight w:val="0"/>
          <w:marTop w:val="0"/>
          <w:marBottom w:val="192"/>
          <w:divBdr>
            <w:top w:val="none" w:sz="0" w:space="0" w:color="auto"/>
            <w:left w:val="none" w:sz="0" w:space="0" w:color="auto"/>
            <w:bottom w:val="none" w:sz="0" w:space="0" w:color="auto"/>
            <w:right w:val="none" w:sz="0" w:space="0" w:color="auto"/>
          </w:divBdr>
        </w:div>
        <w:div w:id="1324897884">
          <w:marLeft w:val="0"/>
          <w:marRight w:val="0"/>
          <w:marTop w:val="0"/>
          <w:marBottom w:val="192"/>
          <w:divBdr>
            <w:top w:val="none" w:sz="0" w:space="0" w:color="auto"/>
            <w:left w:val="none" w:sz="0" w:space="0" w:color="auto"/>
            <w:bottom w:val="none" w:sz="0" w:space="0" w:color="auto"/>
            <w:right w:val="none" w:sz="0" w:space="0" w:color="auto"/>
          </w:divBdr>
        </w:div>
        <w:div w:id="967510852">
          <w:marLeft w:val="0"/>
          <w:marRight w:val="0"/>
          <w:marTop w:val="0"/>
          <w:marBottom w:val="192"/>
          <w:divBdr>
            <w:top w:val="none" w:sz="0" w:space="0" w:color="auto"/>
            <w:left w:val="none" w:sz="0" w:space="0" w:color="auto"/>
            <w:bottom w:val="none" w:sz="0" w:space="0" w:color="auto"/>
            <w:right w:val="none" w:sz="0" w:space="0" w:color="auto"/>
          </w:divBdr>
        </w:div>
        <w:div w:id="970135988">
          <w:marLeft w:val="0"/>
          <w:marRight w:val="0"/>
          <w:marTop w:val="0"/>
          <w:marBottom w:val="192"/>
          <w:divBdr>
            <w:top w:val="none" w:sz="0" w:space="0" w:color="auto"/>
            <w:left w:val="none" w:sz="0" w:space="0" w:color="auto"/>
            <w:bottom w:val="none" w:sz="0" w:space="0" w:color="auto"/>
            <w:right w:val="none" w:sz="0" w:space="0" w:color="auto"/>
          </w:divBdr>
        </w:div>
        <w:div w:id="706178851">
          <w:marLeft w:val="0"/>
          <w:marRight w:val="0"/>
          <w:marTop w:val="0"/>
          <w:marBottom w:val="192"/>
          <w:divBdr>
            <w:top w:val="none" w:sz="0" w:space="0" w:color="auto"/>
            <w:left w:val="none" w:sz="0" w:space="0" w:color="auto"/>
            <w:bottom w:val="none" w:sz="0" w:space="0" w:color="auto"/>
            <w:right w:val="none" w:sz="0" w:space="0" w:color="auto"/>
          </w:divBdr>
        </w:div>
        <w:div w:id="940912501">
          <w:marLeft w:val="0"/>
          <w:marRight w:val="0"/>
          <w:marTop w:val="0"/>
          <w:marBottom w:val="192"/>
          <w:divBdr>
            <w:top w:val="none" w:sz="0" w:space="0" w:color="auto"/>
            <w:left w:val="none" w:sz="0" w:space="0" w:color="auto"/>
            <w:bottom w:val="none" w:sz="0" w:space="0" w:color="auto"/>
            <w:right w:val="none" w:sz="0" w:space="0" w:color="auto"/>
          </w:divBdr>
        </w:div>
      </w:divsChild>
    </w:div>
    <w:div w:id="770904155">
      <w:bodyDiv w:val="1"/>
      <w:marLeft w:val="0"/>
      <w:marRight w:val="0"/>
      <w:marTop w:val="0"/>
      <w:marBottom w:val="0"/>
      <w:divBdr>
        <w:top w:val="none" w:sz="0" w:space="0" w:color="auto"/>
        <w:left w:val="none" w:sz="0" w:space="0" w:color="auto"/>
        <w:bottom w:val="none" w:sz="0" w:space="0" w:color="auto"/>
        <w:right w:val="none" w:sz="0" w:space="0" w:color="auto"/>
      </w:divBdr>
      <w:divsChild>
        <w:div w:id="2036343498">
          <w:marLeft w:val="0"/>
          <w:marRight w:val="0"/>
          <w:marTop w:val="312"/>
          <w:marBottom w:val="96"/>
          <w:divBdr>
            <w:top w:val="none" w:sz="0" w:space="0" w:color="auto"/>
            <w:left w:val="none" w:sz="0" w:space="0" w:color="auto"/>
            <w:bottom w:val="none" w:sz="0" w:space="0" w:color="auto"/>
            <w:right w:val="none" w:sz="0" w:space="0" w:color="auto"/>
          </w:divBdr>
        </w:div>
      </w:divsChild>
    </w:div>
    <w:div w:id="776948096">
      <w:bodyDiv w:val="1"/>
      <w:marLeft w:val="0"/>
      <w:marRight w:val="0"/>
      <w:marTop w:val="0"/>
      <w:marBottom w:val="0"/>
      <w:divBdr>
        <w:top w:val="none" w:sz="0" w:space="0" w:color="auto"/>
        <w:left w:val="none" w:sz="0" w:space="0" w:color="auto"/>
        <w:bottom w:val="none" w:sz="0" w:space="0" w:color="auto"/>
        <w:right w:val="none" w:sz="0" w:space="0" w:color="auto"/>
      </w:divBdr>
    </w:div>
    <w:div w:id="781534841">
      <w:bodyDiv w:val="1"/>
      <w:marLeft w:val="0"/>
      <w:marRight w:val="0"/>
      <w:marTop w:val="0"/>
      <w:marBottom w:val="0"/>
      <w:divBdr>
        <w:top w:val="none" w:sz="0" w:space="0" w:color="auto"/>
        <w:left w:val="none" w:sz="0" w:space="0" w:color="auto"/>
        <w:bottom w:val="none" w:sz="0" w:space="0" w:color="auto"/>
        <w:right w:val="none" w:sz="0" w:space="0" w:color="auto"/>
      </w:divBdr>
    </w:div>
    <w:div w:id="793789062">
      <w:bodyDiv w:val="1"/>
      <w:marLeft w:val="0"/>
      <w:marRight w:val="0"/>
      <w:marTop w:val="0"/>
      <w:marBottom w:val="0"/>
      <w:divBdr>
        <w:top w:val="none" w:sz="0" w:space="0" w:color="auto"/>
        <w:left w:val="none" w:sz="0" w:space="0" w:color="auto"/>
        <w:bottom w:val="none" w:sz="0" w:space="0" w:color="auto"/>
        <w:right w:val="none" w:sz="0" w:space="0" w:color="auto"/>
      </w:divBdr>
      <w:divsChild>
        <w:div w:id="1909535930">
          <w:marLeft w:val="0"/>
          <w:marRight w:val="0"/>
          <w:marTop w:val="312"/>
          <w:marBottom w:val="96"/>
          <w:divBdr>
            <w:top w:val="none" w:sz="0" w:space="0" w:color="auto"/>
            <w:left w:val="none" w:sz="0" w:space="0" w:color="auto"/>
            <w:bottom w:val="none" w:sz="0" w:space="0" w:color="auto"/>
            <w:right w:val="none" w:sz="0" w:space="0" w:color="auto"/>
          </w:divBdr>
        </w:div>
        <w:div w:id="1707677938">
          <w:marLeft w:val="0"/>
          <w:marRight w:val="0"/>
          <w:marTop w:val="0"/>
          <w:marBottom w:val="192"/>
          <w:divBdr>
            <w:top w:val="none" w:sz="0" w:space="0" w:color="auto"/>
            <w:left w:val="none" w:sz="0" w:space="0" w:color="auto"/>
            <w:bottom w:val="none" w:sz="0" w:space="0" w:color="auto"/>
            <w:right w:val="none" w:sz="0" w:space="0" w:color="auto"/>
          </w:divBdr>
        </w:div>
        <w:div w:id="432558058">
          <w:marLeft w:val="0"/>
          <w:marRight w:val="0"/>
          <w:marTop w:val="0"/>
          <w:marBottom w:val="192"/>
          <w:divBdr>
            <w:top w:val="none" w:sz="0" w:space="0" w:color="auto"/>
            <w:left w:val="none" w:sz="0" w:space="0" w:color="auto"/>
            <w:bottom w:val="none" w:sz="0" w:space="0" w:color="auto"/>
            <w:right w:val="none" w:sz="0" w:space="0" w:color="auto"/>
          </w:divBdr>
        </w:div>
        <w:div w:id="1695375724">
          <w:marLeft w:val="0"/>
          <w:marRight w:val="0"/>
          <w:marTop w:val="0"/>
          <w:marBottom w:val="192"/>
          <w:divBdr>
            <w:top w:val="none" w:sz="0" w:space="0" w:color="auto"/>
            <w:left w:val="none" w:sz="0" w:space="0" w:color="auto"/>
            <w:bottom w:val="none" w:sz="0" w:space="0" w:color="auto"/>
            <w:right w:val="none" w:sz="0" w:space="0" w:color="auto"/>
          </w:divBdr>
        </w:div>
        <w:div w:id="43215538">
          <w:marLeft w:val="0"/>
          <w:marRight w:val="0"/>
          <w:marTop w:val="0"/>
          <w:marBottom w:val="192"/>
          <w:divBdr>
            <w:top w:val="none" w:sz="0" w:space="0" w:color="auto"/>
            <w:left w:val="none" w:sz="0" w:space="0" w:color="auto"/>
            <w:bottom w:val="none" w:sz="0" w:space="0" w:color="auto"/>
            <w:right w:val="none" w:sz="0" w:space="0" w:color="auto"/>
          </w:divBdr>
        </w:div>
        <w:div w:id="1733770437">
          <w:marLeft w:val="0"/>
          <w:marRight w:val="0"/>
          <w:marTop w:val="0"/>
          <w:marBottom w:val="192"/>
          <w:divBdr>
            <w:top w:val="none" w:sz="0" w:space="0" w:color="auto"/>
            <w:left w:val="none" w:sz="0" w:space="0" w:color="auto"/>
            <w:bottom w:val="none" w:sz="0" w:space="0" w:color="auto"/>
            <w:right w:val="none" w:sz="0" w:space="0" w:color="auto"/>
          </w:divBdr>
        </w:div>
        <w:div w:id="1645037354">
          <w:marLeft w:val="0"/>
          <w:marRight w:val="0"/>
          <w:marTop w:val="0"/>
          <w:marBottom w:val="192"/>
          <w:divBdr>
            <w:top w:val="none" w:sz="0" w:space="0" w:color="auto"/>
            <w:left w:val="none" w:sz="0" w:space="0" w:color="auto"/>
            <w:bottom w:val="none" w:sz="0" w:space="0" w:color="auto"/>
            <w:right w:val="none" w:sz="0" w:space="0" w:color="auto"/>
          </w:divBdr>
        </w:div>
        <w:div w:id="758330216">
          <w:marLeft w:val="0"/>
          <w:marRight w:val="0"/>
          <w:marTop w:val="0"/>
          <w:marBottom w:val="192"/>
          <w:divBdr>
            <w:top w:val="none" w:sz="0" w:space="0" w:color="auto"/>
            <w:left w:val="none" w:sz="0" w:space="0" w:color="auto"/>
            <w:bottom w:val="none" w:sz="0" w:space="0" w:color="auto"/>
            <w:right w:val="none" w:sz="0" w:space="0" w:color="auto"/>
          </w:divBdr>
        </w:div>
      </w:divsChild>
    </w:div>
    <w:div w:id="820467436">
      <w:bodyDiv w:val="1"/>
      <w:marLeft w:val="0"/>
      <w:marRight w:val="0"/>
      <w:marTop w:val="0"/>
      <w:marBottom w:val="0"/>
      <w:divBdr>
        <w:top w:val="none" w:sz="0" w:space="0" w:color="auto"/>
        <w:left w:val="none" w:sz="0" w:space="0" w:color="auto"/>
        <w:bottom w:val="none" w:sz="0" w:space="0" w:color="auto"/>
        <w:right w:val="none" w:sz="0" w:space="0" w:color="auto"/>
      </w:divBdr>
      <w:divsChild>
        <w:div w:id="733235759">
          <w:marLeft w:val="0"/>
          <w:marRight w:val="0"/>
          <w:marTop w:val="0"/>
          <w:marBottom w:val="0"/>
          <w:divBdr>
            <w:top w:val="none" w:sz="0" w:space="0" w:color="auto"/>
            <w:left w:val="none" w:sz="0" w:space="0" w:color="auto"/>
            <w:bottom w:val="none" w:sz="0" w:space="0" w:color="auto"/>
            <w:right w:val="none" w:sz="0" w:space="0" w:color="auto"/>
          </w:divBdr>
          <w:divsChild>
            <w:div w:id="1854680789">
              <w:marLeft w:val="0"/>
              <w:marRight w:val="0"/>
              <w:marTop w:val="0"/>
              <w:marBottom w:val="0"/>
              <w:divBdr>
                <w:top w:val="none" w:sz="0" w:space="0" w:color="auto"/>
                <w:left w:val="none" w:sz="0" w:space="0" w:color="auto"/>
                <w:bottom w:val="none" w:sz="0" w:space="0" w:color="auto"/>
                <w:right w:val="none" w:sz="0" w:space="0" w:color="auto"/>
              </w:divBdr>
            </w:div>
          </w:divsChild>
        </w:div>
        <w:div w:id="1830631673">
          <w:marLeft w:val="0"/>
          <w:marRight w:val="0"/>
          <w:marTop w:val="0"/>
          <w:marBottom w:val="0"/>
          <w:divBdr>
            <w:top w:val="none" w:sz="0" w:space="0" w:color="auto"/>
            <w:left w:val="none" w:sz="0" w:space="0" w:color="auto"/>
            <w:bottom w:val="none" w:sz="0" w:space="0" w:color="auto"/>
            <w:right w:val="none" w:sz="0" w:space="0" w:color="auto"/>
          </w:divBdr>
          <w:divsChild>
            <w:div w:id="8679391">
              <w:marLeft w:val="0"/>
              <w:marRight w:val="0"/>
              <w:marTop w:val="0"/>
              <w:marBottom w:val="0"/>
              <w:divBdr>
                <w:top w:val="none" w:sz="0" w:space="0" w:color="auto"/>
                <w:left w:val="none" w:sz="0" w:space="0" w:color="auto"/>
                <w:bottom w:val="none" w:sz="0" w:space="0" w:color="auto"/>
                <w:right w:val="none" w:sz="0" w:space="0" w:color="auto"/>
              </w:divBdr>
            </w:div>
          </w:divsChild>
        </w:div>
        <w:div w:id="404304677">
          <w:marLeft w:val="0"/>
          <w:marRight w:val="0"/>
          <w:marTop w:val="0"/>
          <w:marBottom w:val="0"/>
          <w:divBdr>
            <w:top w:val="none" w:sz="0" w:space="0" w:color="auto"/>
            <w:left w:val="none" w:sz="0" w:space="0" w:color="auto"/>
            <w:bottom w:val="none" w:sz="0" w:space="0" w:color="auto"/>
            <w:right w:val="none" w:sz="0" w:space="0" w:color="auto"/>
          </w:divBdr>
          <w:divsChild>
            <w:div w:id="121446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1115">
      <w:bodyDiv w:val="1"/>
      <w:marLeft w:val="0"/>
      <w:marRight w:val="0"/>
      <w:marTop w:val="0"/>
      <w:marBottom w:val="0"/>
      <w:divBdr>
        <w:top w:val="none" w:sz="0" w:space="0" w:color="auto"/>
        <w:left w:val="none" w:sz="0" w:space="0" w:color="auto"/>
        <w:bottom w:val="none" w:sz="0" w:space="0" w:color="auto"/>
        <w:right w:val="none" w:sz="0" w:space="0" w:color="auto"/>
      </w:divBdr>
    </w:div>
    <w:div w:id="862592654">
      <w:bodyDiv w:val="1"/>
      <w:marLeft w:val="0"/>
      <w:marRight w:val="0"/>
      <w:marTop w:val="0"/>
      <w:marBottom w:val="0"/>
      <w:divBdr>
        <w:top w:val="none" w:sz="0" w:space="0" w:color="auto"/>
        <w:left w:val="none" w:sz="0" w:space="0" w:color="auto"/>
        <w:bottom w:val="none" w:sz="0" w:space="0" w:color="auto"/>
        <w:right w:val="none" w:sz="0" w:space="0" w:color="auto"/>
      </w:divBdr>
      <w:divsChild>
        <w:div w:id="1147280146">
          <w:marLeft w:val="0"/>
          <w:marRight w:val="0"/>
          <w:marTop w:val="0"/>
          <w:marBottom w:val="0"/>
          <w:divBdr>
            <w:top w:val="none" w:sz="0" w:space="0" w:color="auto"/>
            <w:left w:val="none" w:sz="0" w:space="0" w:color="auto"/>
            <w:bottom w:val="none" w:sz="0" w:space="0" w:color="auto"/>
            <w:right w:val="none" w:sz="0" w:space="0" w:color="auto"/>
          </w:divBdr>
          <w:divsChild>
            <w:div w:id="628246448">
              <w:marLeft w:val="0"/>
              <w:marRight w:val="0"/>
              <w:marTop w:val="0"/>
              <w:marBottom w:val="0"/>
              <w:divBdr>
                <w:top w:val="none" w:sz="0" w:space="0" w:color="auto"/>
                <w:left w:val="none" w:sz="0" w:space="0" w:color="auto"/>
                <w:bottom w:val="none" w:sz="0" w:space="0" w:color="auto"/>
                <w:right w:val="none" w:sz="0" w:space="0" w:color="auto"/>
              </w:divBdr>
              <w:divsChild>
                <w:div w:id="421724324">
                  <w:marLeft w:val="0"/>
                  <w:marRight w:val="0"/>
                  <w:marTop w:val="0"/>
                  <w:marBottom w:val="0"/>
                  <w:divBdr>
                    <w:top w:val="none" w:sz="0" w:space="0" w:color="auto"/>
                    <w:left w:val="none" w:sz="0" w:space="0" w:color="auto"/>
                    <w:bottom w:val="none" w:sz="0" w:space="0" w:color="auto"/>
                    <w:right w:val="none" w:sz="0" w:space="0" w:color="auto"/>
                  </w:divBdr>
                  <w:divsChild>
                    <w:div w:id="1836410104">
                      <w:marLeft w:val="0"/>
                      <w:marRight w:val="0"/>
                      <w:marTop w:val="226"/>
                      <w:marBottom w:val="113"/>
                      <w:divBdr>
                        <w:top w:val="none" w:sz="0" w:space="0" w:color="auto"/>
                        <w:left w:val="none" w:sz="0" w:space="0" w:color="auto"/>
                        <w:bottom w:val="none" w:sz="0" w:space="0" w:color="auto"/>
                        <w:right w:val="none" w:sz="0" w:space="0" w:color="auto"/>
                      </w:divBdr>
                    </w:div>
                  </w:divsChild>
                </w:div>
              </w:divsChild>
            </w:div>
          </w:divsChild>
        </w:div>
        <w:div w:id="1856461463">
          <w:marLeft w:val="0"/>
          <w:marRight w:val="0"/>
          <w:marTop w:val="0"/>
          <w:marBottom w:val="0"/>
          <w:divBdr>
            <w:top w:val="none" w:sz="0" w:space="0" w:color="auto"/>
            <w:left w:val="none" w:sz="0" w:space="0" w:color="auto"/>
            <w:bottom w:val="none" w:sz="0" w:space="0" w:color="auto"/>
            <w:right w:val="none" w:sz="0" w:space="0" w:color="auto"/>
          </w:divBdr>
          <w:divsChild>
            <w:div w:id="1790851255">
              <w:marLeft w:val="0"/>
              <w:marRight w:val="0"/>
              <w:marTop w:val="0"/>
              <w:marBottom w:val="0"/>
              <w:divBdr>
                <w:top w:val="none" w:sz="0" w:space="0" w:color="auto"/>
                <w:left w:val="none" w:sz="0" w:space="0" w:color="auto"/>
                <w:bottom w:val="none" w:sz="0" w:space="0" w:color="auto"/>
                <w:right w:val="none" w:sz="0" w:space="0" w:color="auto"/>
              </w:divBdr>
              <w:divsChild>
                <w:div w:id="137503169">
                  <w:marLeft w:val="0"/>
                  <w:marRight w:val="0"/>
                  <w:marTop w:val="0"/>
                  <w:marBottom w:val="0"/>
                  <w:divBdr>
                    <w:top w:val="none" w:sz="0" w:space="0" w:color="auto"/>
                    <w:left w:val="none" w:sz="0" w:space="0" w:color="auto"/>
                    <w:bottom w:val="none" w:sz="0" w:space="0" w:color="auto"/>
                    <w:right w:val="none" w:sz="0" w:space="0" w:color="auto"/>
                  </w:divBdr>
                  <w:divsChild>
                    <w:div w:id="499588949">
                      <w:marLeft w:val="0"/>
                      <w:marRight w:val="0"/>
                      <w:marTop w:val="0"/>
                      <w:marBottom w:val="58"/>
                      <w:divBdr>
                        <w:top w:val="none" w:sz="0" w:space="0" w:color="auto"/>
                        <w:left w:val="none" w:sz="0" w:space="0" w:color="auto"/>
                        <w:bottom w:val="none" w:sz="0" w:space="0" w:color="auto"/>
                        <w:right w:val="none" w:sz="0" w:space="0" w:color="auto"/>
                      </w:divBdr>
                    </w:div>
                    <w:div w:id="11734204">
                      <w:marLeft w:val="6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 w:id="359823586">
          <w:marLeft w:val="0"/>
          <w:marRight w:val="0"/>
          <w:marTop w:val="0"/>
          <w:marBottom w:val="0"/>
          <w:divBdr>
            <w:top w:val="none" w:sz="0" w:space="0" w:color="auto"/>
            <w:left w:val="none" w:sz="0" w:space="0" w:color="auto"/>
            <w:bottom w:val="none" w:sz="0" w:space="0" w:color="auto"/>
            <w:right w:val="none" w:sz="0" w:space="0" w:color="auto"/>
          </w:divBdr>
          <w:divsChild>
            <w:div w:id="916600226">
              <w:marLeft w:val="0"/>
              <w:marRight w:val="0"/>
              <w:marTop w:val="0"/>
              <w:marBottom w:val="0"/>
              <w:divBdr>
                <w:top w:val="none" w:sz="0" w:space="0" w:color="auto"/>
                <w:left w:val="none" w:sz="0" w:space="0" w:color="auto"/>
                <w:bottom w:val="none" w:sz="0" w:space="0" w:color="auto"/>
                <w:right w:val="none" w:sz="0" w:space="0" w:color="auto"/>
              </w:divBdr>
              <w:divsChild>
                <w:div w:id="609900615">
                  <w:marLeft w:val="0"/>
                  <w:marRight w:val="0"/>
                  <w:marTop w:val="0"/>
                  <w:marBottom w:val="0"/>
                  <w:divBdr>
                    <w:top w:val="none" w:sz="0" w:space="0" w:color="auto"/>
                    <w:left w:val="none" w:sz="0" w:space="0" w:color="auto"/>
                    <w:bottom w:val="none" w:sz="0" w:space="0" w:color="auto"/>
                    <w:right w:val="none" w:sz="0" w:space="0" w:color="auto"/>
                  </w:divBdr>
                  <w:divsChild>
                    <w:div w:id="115609032">
                      <w:marLeft w:val="0"/>
                      <w:marRight w:val="0"/>
                      <w:marTop w:val="0"/>
                      <w:marBottom w:val="58"/>
                      <w:divBdr>
                        <w:top w:val="none" w:sz="0" w:space="0" w:color="auto"/>
                        <w:left w:val="none" w:sz="0" w:space="0" w:color="auto"/>
                        <w:bottom w:val="none" w:sz="0" w:space="0" w:color="auto"/>
                        <w:right w:val="none" w:sz="0" w:space="0" w:color="auto"/>
                      </w:divBdr>
                    </w:div>
                    <w:div w:id="1274943530">
                      <w:marLeft w:val="6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 w:id="929890587">
      <w:bodyDiv w:val="1"/>
      <w:marLeft w:val="0"/>
      <w:marRight w:val="0"/>
      <w:marTop w:val="0"/>
      <w:marBottom w:val="0"/>
      <w:divBdr>
        <w:top w:val="none" w:sz="0" w:space="0" w:color="auto"/>
        <w:left w:val="none" w:sz="0" w:space="0" w:color="auto"/>
        <w:bottom w:val="none" w:sz="0" w:space="0" w:color="auto"/>
        <w:right w:val="none" w:sz="0" w:space="0" w:color="auto"/>
      </w:divBdr>
      <w:divsChild>
        <w:div w:id="2122145030">
          <w:marLeft w:val="624"/>
          <w:marRight w:val="0"/>
          <w:marTop w:val="0"/>
          <w:marBottom w:val="0"/>
          <w:divBdr>
            <w:top w:val="none" w:sz="0" w:space="0" w:color="auto"/>
            <w:left w:val="none" w:sz="0" w:space="0" w:color="auto"/>
            <w:bottom w:val="none" w:sz="0" w:space="0" w:color="auto"/>
            <w:right w:val="none" w:sz="0" w:space="0" w:color="auto"/>
          </w:divBdr>
        </w:div>
        <w:div w:id="1357778071">
          <w:marLeft w:val="624"/>
          <w:marRight w:val="0"/>
          <w:marTop w:val="0"/>
          <w:marBottom w:val="0"/>
          <w:divBdr>
            <w:top w:val="none" w:sz="0" w:space="0" w:color="auto"/>
            <w:left w:val="none" w:sz="0" w:space="0" w:color="auto"/>
            <w:bottom w:val="none" w:sz="0" w:space="0" w:color="auto"/>
            <w:right w:val="none" w:sz="0" w:space="0" w:color="auto"/>
          </w:divBdr>
        </w:div>
        <w:div w:id="113334934">
          <w:marLeft w:val="624"/>
          <w:marRight w:val="0"/>
          <w:marTop w:val="0"/>
          <w:marBottom w:val="0"/>
          <w:divBdr>
            <w:top w:val="none" w:sz="0" w:space="0" w:color="auto"/>
            <w:left w:val="none" w:sz="0" w:space="0" w:color="auto"/>
            <w:bottom w:val="none" w:sz="0" w:space="0" w:color="auto"/>
            <w:right w:val="none" w:sz="0" w:space="0" w:color="auto"/>
          </w:divBdr>
        </w:div>
        <w:div w:id="1216089651">
          <w:marLeft w:val="624"/>
          <w:marRight w:val="0"/>
          <w:marTop w:val="0"/>
          <w:marBottom w:val="0"/>
          <w:divBdr>
            <w:top w:val="none" w:sz="0" w:space="0" w:color="auto"/>
            <w:left w:val="none" w:sz="0" w:space="0" w:color="auto"/>
            <w:bottom w:val="none" w:sz="0" w:space="0" w:color="auto"/>
            <w:right w:val="none" w:sz="0" w:space="0" w:color="auto"/>
          </w:divBdr>
        </w:div>
      </w:divsChild>
    </w:div>
    <w:div w:id="982466015">
      <w:bodyDiv w:val="1"/>
      <w:marLeft w:val="0"/>
      <w:marRight w:val="0"/>
      <w:marTop w:val="0"/>
      <w:marBottom w:val="0"/>
      <w:divBdr>
        <w:top w:val="none" w:sz="0" w:space="0" w:color="auto"/>
        <w:left w:val="none" w:sz="0" w:space="0" w:color="auto"/>
        <w:bottom w:val="none" w:sz="0" w:space="0" w:color="auto"/>
        <w:right w:val="none" w:sz="0" w:space="0" w:color="auto"/>
      </w:divBdr>
    </w:div>
    <w:div w:id="1058749276">
      <w:bodyDiv w:val="1"/>
      <w:marLeft w:val="0"/>
      <w:marRight w:val="0"/>
      <w:marTop w:val="0"/>
      <w:marBottom w:val="0"/>
      <w:divBdr>
        <w:top w:val="none" w:sz="0" w:space="0" w:color="auto"/>
        <w:left w:val="none" w:sz="0" w:space="0" w:color="auto"/>
        <w:bottom w:val="none" w:sz="0" w:space="0" w:color="auto"/>
        <w:right w:val="none" w:sz="0" w:space="0" w:color="auto"/>
      </w:divBdr>
      <w:divsChild>
        <w:div w:id="204146878">
          <w:marLeft w:val="0"/>
          <w:marRight w:val="0"/>
          <w:marTop w:val="96"/>
          <w:marBottom w:val="312"/>
          <w:divBdr>
            <w:top w:val="none" w:sz="0" w:space="0" w:color="auto"/>
            <w:left w:val="none" w:sz="0" w:space="0" w:color="auto"/>
            <w:bottom w:val="none" w:sz="0" w:space="0" w:color="auto"/>
            <w:right w:val="none" w:sz="0" w:space="0" w:color="auto"/>
          </w:divBdr>
        </w:div>
        <w:div w:id="779033877">
          <w:marLeft w:val="0"/>
          <w:marRight w:val="0"/>
          <w:marTop w:val="0"/>
          <w:marBottom w:val="192"/>
          <w:divBdr>
            <w:top w:val="none" w:sz="0" w:space="0" w:color="auto"/>
            <w:left w:val="none" w:sz="0" w:space="0" w:color="auto"/>
            <w:bottom w:val="none" w:sz="0" w:space="0" w:color="auto"/>
            <w:right w:val="none" w:sz="0" w:space="0" w:color="auto"/>
          </w:divBdr>
          <w:divsChild>
            <w:div w:id="1639921101">
              <w:marLeft w:val="624"/>
              <w:marRight w:val="0"/>
              <w:marTop w:val="0"/>
              <w:marBottom w:val="0"/>
              <w:divBdr>
                <w:top w:val="none" w:sz="0" w:space="0" w:color="auto"/>
                <w:left w:val="none" w:sz="0" w:space="0" w:color="auto"/>
                <w:bottom w:val="none" w:sz="0" w:space="0" w:color="auto"/>
                <w:right w:val="none" w:sz="0" w:space="0" w:color="auto"/>
              </w:divBdr>
            </w:div>
            <w:div w:id="273901106">
              <w:marLeft w:val="624"/>
              <w:marRight w:val="0"/>
              <w:marTop w:val="0"/>
              <w:marBottom w:val="0"/>
              <w:divBdr>
                <w:top w:val="none" w:sz="0" w:space="0" w:color="auto"/>
                <w:left w:val="none" w:sz="0" w:space="0" w:color="auto"/>
                <w:bottom w:val="none" w:sz="0" w:space="0" w:color="auto"/>
                <w:right w:val="none" w:sz="0" w:space="0" w:color="auto"/>
              </w:divBdr>
            </w:div>
          </w:divsChild>
        </w:div>
        <w:div w:id="896429555">
          <w:marLeft w:val="0"/>
          <w:marRight w:val="0"/>
          <w:marTop w:val="0"/>
          <w:marBottom w:val="192"/>
          <w:divBdr>
            <w:top w:val="none" w:sz="0" w:space="0" w:color="auto"/>
            <w:left w:val="none" w:sz="0" w:space="0" w:color="auto"/>
            <w:bottom w:val="none" w:sz="0" w:space="0" w:color="auto"/>
            <w:right w:val="none" w:sz="0" w:space="0" w:color="auto"/>
          </w:divBdr>
        </w:div>
        <w:div w:id="708652246">
          <w:marLeft w:val="0"/>
          <w:marRight w:val="0"/>
          <w:marTop w:val="0"/>
          <w:marBottom w:val="192"/>
          <w:divBdr>
            <w:top w:val="none" w:sz="0" w:space="0" w:color="auto"/>
            <w:left w:val="none" w:sz="0" w:space="0" w:color="auto"/>
            <w:bottom w:val="none" w:sz="0" w:space="0" w:color="auto"/>
            <w:right w:val="none" w:sz="0" w:space="0" w:color="auto"/>
          </w:divBdr>
        </w:div>
        <w:div w:id="662124625">
          <w:marLeft w:val="0"/>
          <w:marRight w:val="0"/>
          <w:marTop w:val="0"/>
          <w:marBottom w:val="192"/>
          <w:divBdr>
            <w:top w:val="none" w:sz="0" w:space="0" w:color="auto"/>
            <w:left w:val="none" w:sz="0" w:space="0" w:color="auto"/>
            <w:bottom w:val="none" w:sz="0" w:space="0" w:color="auto"/>
            <w:right w:val="none" w:sz="0" w:space="0" w:color="auto"/>
          </w:divBdr>
        </w:div>
        <w:div w:id="229075832">
          <w:marLeft w:val="0"/>
          <w:marRight w:val="0"/>
          <w:marTop w:val="0"/>
          <w:marBottom w:val="192"/>
          <w:divBdr>
            <w:top w:val="none" w:sz="0" w:space="0" w:color="auto"/>
            <w:left w:val="none" w:sz="0" w:space="0" w:color="auto"/>
            <w:bottom w:val="none" w:sz="0" w:space="0" w:color="auto"/>
            <w:right w:val="none" w:sz="0" w:space="0" w:color="auto"/>
          </w:divBdr>
        </w:div>
        <w:div w:id="2139492383">
          <w:marLeft w:val="0"/>
          <w:marRight w:val="0"/>
          <w:marTop w:val="0"/>
          <w:marBottom w:val="192"/>
          <w:divBdr>
            <w:top w:val="none" w:sz="0" w:space="0" w:color="auto"/>
            <w:left w:val="none" w:sz="0" w:space="0" w:color="auto"/>
            <w:bottom w:val="none" w:sz="0" w:space="0" w:color="auto"/>
            <w:right w:val="none" w:sz="0" w:space="0" w:color="auto"/>
          </w:divBdr>
        </w:div>
        <w:div w:id="231358256">
          <w:marLeft w:val="0"/>
          <w:marRight w:val="0"/>
          <w:marTop w:val="0"/>
          <w:marBottom w:val="192"/>
          <w:divBdr>
            <w:top w:val="none" w:sz="0" w:space="0" w:color="auto"/>
            <w:left w:val="none" w:sz="0" w:space="0" w:color="auto"/>
            <w:bottom w:val="none" w:sz="0" w:space="0" w:color="auto"/>
            <w:right w:val="none" w:sz="0" w:space="0" w:color="auto"/>
          </w:divBdr>
        </w:div>
      </w:divsChild>
    </w:div>
    <w:div w:id="1094671121">
      <w:bodyDiv w:val="1"/>
      <w:marLeft w:val="0"/>
      <w:marRight w:val="0"/>
      <w:marTop w:val="0"/>
      <w:marBottom w:val="0"/>
      <w:divBdr>
        <w:top w:val="none" w:sz="0" w:space="0" w:color="auto"/>
        <w:left w:val="none" w:sz="0" w:space="0" w:color="auto"/>
        <w:bottom w:val="none" w:sz="0" w:space="0" w:color="auto"/>
        <w:right w:val="none" w:sz="0" w:space="0" w:color="auto"/>
      </w:divBdr>
      <w:divsChild>
        <w:div w:id="1822117113">
          <w:marLeft w:val="0"/>
          <w:marRight w:val="0"/>
          <w:marTop w:val="96"/>
          <w:marBottom w:val="312"/>
          <w:divBdr>
            <w:top w:val="none" w:sz="0" w:space="0" w:color="auto"/>
            <w:left w:val="none" w:sz="0" w:space="0" w:color="auto"/>
            <w:bottom w:val="none" w:sz="0" w:space="0" w:color="auto"/>
            <w:right w:val="none" w:sz="0" w:space="0" w:color="auto"/>
          </w:divBdr>
        </w:div>
        <w:div w:id="2102289817">
          <w:marLeft w:val="0"/>
          <w:marRight w:val="0"/>
          <w:marTop w:val="0"/>
          <w:marBottom w:val="192"/>
          <w:divBdr>
            <w:top w:val="none" w:sz="0" w:space="0" w:color="auto"/>
            <w:left w:val="none" w:sz="0" w:space="0" w:color="auto"/>
            <w:bottom w:val="none" w:sz="0" w:space="0" w:color="auto"/>
            <w:right w:val="none" w:sz="0" w:space="0" w:color="auto"/>
          </w:divBdr>
        </w:div>
      </w:divsChild>
    </w:div>
    <w:div w:id="1172255910">
      <w:bodyDiv w:val="1"/>
      <w:marLeft w:val="0"/>
      <w:marRight w:val="0"/>
      <w:marTop w:val="0"/>
      <w:marBottom w:val="0"/>
      <w:divBdr>
        <w:top w:val="none" w:sz="0" w:space="0" w:color="auto"/>
        <w:left w:val="none" w:sz="0" w:space="0" w:color="auto"/>
        <w:bottom w:val="none" w:sz="0" w:space="0" w:color="auto"/>
        <w:right w:val="none" w:sz="0" w:space="0" w:color="auto"/>
      </w:divBdr>
      <w:divsChild>
        <w:div w:id="515384197">
          <w:marLeft w:val="0"/>
          <w:marRight w:val="0"/>
          <w:marTop w:val="0"/>
          <w:marBottom w:val="192"/>
          <w:divBdr>
            <w:top w:val="none" w:sz="0" w:space="0" w:color="auto"/>
            <w:left w:val="none" w:sz="0" w:space="0" w:color="auto"/>
            <w:bottom w:val="none" w:sz="0" w:space="0" w:color="auto"/>
            <w:right w:val="none" w:sz="0" w:space="0" w:color="auto"/>
          </w:divBdr>
        </w:div>
        <w:div w:id="945965224">
          <w:marLeft w:val="0"/>
          <w:marRight w:val="0"/>
          <w:marTop w:val="0"/>
          <w:marBottom w:val="192"/>
          <w:divBdr>
            <w:top w:val="none" w:sz="0" w:space="0" w:color="auto"/>
            <w:left w:val="none" w:sz="0" w:space="0" w:color="auto"/>
            <w:bottom w:val="none" w:sz="0" w:space="0" w:color="auto"/>
            <w:right w:val="none" w:sz="0" w:space="0" w:color="auto"/>
          </w:divBdr>
        </w:div>
        <w:div w:id="30572034">
          <w:marLeft w:val="0"/>
          <w:marRight w:val="0"/>
          <w:marTop w:val="0"/>
          <w:marBottom w:val="192"/>
          <w:divBdr>
            <w:top w:val="none" w:sz="0" w:space="0" w:color="auto"/>
            <w:left w:val="none" w:sz="0" w:space="0" w:color="auto"/>
            <w:bottom w:val="none" w:sz="0" w:space="0" w:color="auto"/>
            <w:right w:val="none" w:sz="0" w:space="0" w:color="auto"/>
          </w:divBdr>
        </w:div>
      </w:divsChild>
    </w:div>
    <w:div w:id="1212036983">
      <w:bodyDiv w:val="1"/>
      <w:marLeft w:val="0"/>
      <w:marRight w:val="0"/>
      <w:marTop w:val="0"/>
      <w:marBottom w:val="0"/>
      <w:divBdr>
        <w:top w:val="none" w:sz="0" w:space="0" w:color="auto"/>
        <w:left w:val="none" w:sz="0" w:space="0" w:color="auto"/>
        <w:bottom w:val="none" w:sz="0" w:space="0" w:color="auto"/>
        <w:right w:val="none" w:sz="0" w:space="0" w:color="auto"/>
      </w:divBdr>
      <w:divsChild>
        <w:div w:id="932475451">
          <w:marLeft w:val="0"/>
          <w:marRight w:val="0"/>
          <w:marTop w:val="312"/>
          <w:marBottom w:val="96"/>
          <w:divBdr>
            <w:top w:val="none" w:sz="0" w:space="0" w:color="auto"/>
            <w:left w:val="none" w:sz="0" w:space="0" w:color="auto"/>
            <w:bottom w:val="none" w:sz="0" w:space="0" w:color="auto"/>
            <w:right w:val="none" w:sz="0" w:space="0" w:color="auto"/>
          </w:divBdr>
        </w:div>
        <w:div w:id="1507011019">
          <w:marLeft w:val="0"/>
          <w:marRight w:val="0"/>
          <w:marTop w:val="96"/>
          <w:marBottom w:val="312"/>
          <w:divBdr>
            <w:top w:val="none" w:sz="0" w:space="0" w:color="auto"/>
            <w:left w:val="none" w:sz="0" w:space="0" w:color="auto"/>
            <w:bottom w:val="none" w:sz="0" w:space="0" w:color="auto"/>
            <w:right w:val="none" w:sz="0" w:space="0" w:color="auto"/>
          </w:divBdr>
        </w:div>
        <w:div w:id="1597326611">
          <w:marLeft w:val="0"/>
          <w:marRight w:val="0"/>
          <w:marTop w:val="0"/>
          <w:marBottom w:val="192"/>
          <w:divBdr>
            <w:top w:val="none" w:sz="0" w:space="0" w:color="auto"/>
            <w:left w:val="none" w:sz="0" w:space="0" w:color="auto"/>
            <w:bottom w:val="none" w:sz="0" w:space="0" w:color="auto"/>
            <w:right w:val="none" w:sz="0" w:space="0" w:color="auto"/>
          </w:divBdr>
        </w:div>
        <w:div w:id="2038505590">
          <w:marLeft w:val="0"/>
          <w:marRight w:val="0"/>
          <w:marTop w:val="0"/>
          <w:marBottom w:val="192"/>
          <w:divBdr>
            <w:top w:val="none" w:sz="0" w:space="0" w:color="auto"/>
            <w:left w:val="none" w:sz="0" w:space="0" w:color="auto"/>
            <w:bottom w:val="none" w:sz="0" w:space="0" w:color="auto"/>
            <w:right w:val="none" w:sz="0" w:space="0" w:color="auto"/>
          </w:divBdr>
        </w:div>
        <w:div w:id="1906336549">
          <w:marLeft w:val="0"/>
          <w:marRight w:val="0"/>
          <w:marTop w:val="0"/>
          <w:marBottom w:val="192"/>
          <w:divBdr>
            <w:top w:val="none" w:sz="0" w:space="0" w:color="auto"/>
            <w:left w:val="none" w:sz="0" w:space="0" w:color="auto"/>
            <w:bottom w:val="none" w:sz="0" w:space="0" w:color="auto"/>
            <w:right w:val="none" w:sz="0" w:space="0" w:color="auto"/>
          </w:divBdr>
        </w:div>
        <w:div w:id="688530610">
          <w:marLeft w:val="0"/>
          <w:marRight w:val="0"/>
          <w:marTop w:val="0"/>
          <w:marBottom w:val="192"/>
          <w:divBdr>
            <w:top w:val="none" w:sz="0" w:space="0" w:color="auto"/>
            <w:left w:val="none" w:sz="0" w:space="0" w:color="auto"/>
            <w:bottom w:val="none" w:sz="0" w:space="0" w:color="auto"/>
            <w:right w:val="none" w:sz="0" w:space="0" w:color="auto"/>
          </w:divBdr>
        </w:div>
        <w:div w:id="1156144755">
          <w:marLeft w:val="0"/>
          <w:marRight w:val="0"/>
          <w:marTop w:val="0"/>
          <w:marBottom w:val="192"/>
          <w:divBdr>
            <w:top w:val="none" w:sz="0" w:space="0" w:color="auto"/>
            <w:left w:val="none" w:sz="0" w:space="0" w:color="auto"/>
            <w:bottom w:val="none" w:sz="0" w:space="0" w:color="auto"/>
            <w:right w:val="none" w:sz="0" w:space="0" w:color="auto"/>
          </w:divBdr>
        </w:div>
        <w:div w:id="313531535">
          <w:marLeft w:val="0"/>
          <w:marRight w:val="0"/>
          <w:marTop w:val="0"/>
          <w:marBottom w:val="192"/>
          <w:divBdr>
            <w:top w:val="none" w:sz="0" w:space="0" w:color="auto"/>
            <w:left w:val="none" w:sz="0" w:space="0" w:color="auto"/>
            <w:bottom w:val="none" w:sz="0" w:space="0" w:color="auto"/>
            <w:right w:val="none" w:sz="0" w:space="0" w:color="auto"/>
          </w:divBdr>
        </w:div>
        <w:div w:id="813642058">
          <w:marLeft w:val="0"/>
          <w:marRight w:val="0"/>
          <w:marTop w:val="0"/>
          <w:marBottom w:val="192"/>
          <w:divBdr>
            <w:top w:val="none" w:sz="0" w:space="0" w:color="auto"/>
            <w:left w:val="none" w:sz="0" w:space="0" w:color="auto"/>
            <w:bottom w:val="none" w:sz="0" w:space="0" w:color="auto"/>
            <w:right w:val="none" w:sz="0" w:space="0" w:color="auto"/>
          </w:divBdr>
        </w:div>
        <w:div w:id="34352637">
          <w:marLeft w:val="0"/>
          <w:marRight w:val="0"/>
          <w:marTop w:val="0"/>
          <w:marBottom w:val="192"/>
          <w:divBdr>
            <w:top w:val="none" w:sz="0" w:space="0" w:color="auto"/>
            <w:left w:val="none" w:sz="0" w:space="0" w:color="auto"/>
            <w:bottom w:val="none" w:sz="0" w:space="0" w:color="auto"/>
            <w:right w:val="none" w:sz="0" w:space="0" w:color="auto"/>
          </w:divBdr>
        </w:div>
        <w:div w:id="1530487067">
          <w:marLeft w:val="0"/>
          <w:marRight w:val="0"/>
          <w:marTop w:val="0"/>
          <w:marBottom w:val="192"/>
          <w:divBdr>
            <w:top w:val="none" w:sz="0" w:space="0" w:color="auto"/>
            <w:left w:val="none" w:sz="0" w:space="0" w:color="auto"/>
            <w:bottom w:val="none" w:sz="0" w:space="0" w:color="auto"/>
            <w:right w:val="none" w:sz="0" w:space="0" w:color="auto"/>
          </w:divBdr>
        </w:div>
        <w:div w:id="1598247523">
          <w:marLeft w:val="0"/>
          <w:marRight w:val="0"/>
          <w:marTop w:val="0"/>
          <w:marBottom w:val="192"/>
          <w:divBdr>
            <w:top w:val="none" w:sz="0" w:space="0" w:color="auto"/>
            <w:left w:val="none" w:sz="0" w:space="0" w:color="auto"/>
            <w:bottom w:val="none" w:sz="0" w:space="0" w:color="auto"/>
            <w:right w:val="none" w:sz="0" w:space="0" w:color="auto"/>
          </w:divBdr>
        </w:div>
      </w:divsChild>
    </w:div>
    <w:div w:id="1240407834">
      <w:bodyDiv w:val="1"/>
      <w:marLeft w:val="0"/>
      <w:marRight w:val="0"/>
      <w:marTop w:val="0"/>
      <w:marBottom w:val="0"/>
      <w:divBdr>
        <w:top w:val="none" w:sz="0" w:space="0" w:color="auto"/>
        <w:left w:val="none" w:sz="0" w:space="0" w:color="auto"/>
        <w:bottom w:val="none" w:sz="0" w:space="0" w:color="auto"/>
        <w:right w:val="none" w:sz="0" w:space="0" w:color="auto"/>
      </w:divBdr>
    </w:div>
    <w:div w:id="1275287104">
      <w:bodyDiv w:val="1"/>
      <w:marLeft w:val="0"/>
      <w:marRight w:val="0"/>
      <w:marTop w:val="0"/>
      <w:marBottom w:val="0"/>
      <w:divBdr>
        <w:top w:val="none" w:sz="0" w:space="0" w:color="auto"/>
        <w:left w:val="none" w:sz="0" w:space="0" w:color="auto"/>
        <w:bottom w:val="none" w:sz="0" w:space="0" w:color="auto"/>
        <w:right w:val="none" w:sz="0" w:space="0" w:color="auto"/>
      </w:divBdr>
      <w:divsChild>
        <w:div w:id="173228910">
          <w:marLeft w:val="0"/>
          <w:marRight w:val="0"/>
          <w:marTop w:val="312"/>
          <w:marBottom w:val="96"/>
          <w:divBdr>
            <w:top w:val="none" w:sz="0" w:space="0" w:color="auto"/>
            <w:left w:val="none" w:sz="0" w:space="0" w:color="auto"/>
            <w:bottom w:val="none" w:sz="0" w:space="0" w:color="auto"/>
            <w:right w:val="none" w:sz="0" w:space="0" w:color="auto"/>
          </w:divBdr>
        </w:div>
        <w:div w:id="2145653966">
          <w:marLeft w:val="0"/>
          <w:marRight w:val="0"/>
          <w:marTop w:val="96"/>
          <w:marBottom w:val="312"/>
          <w:divBdr>
            <w:top w:val="none" w:sz="0" w:space="0" w:color="auto"/>
            <w:left w:val="none" w:sz="0" w:space="0" w:color="auto"/>
            <w:bottom w:val="none" w:sz="0" w:space="0" w:color="auto"/>
            <w:right w:val="none" w:sz="0" w:space="0" w:color="auto"/>
          </w:divBdr>
        </w:div>
        <w:div w:id="800877296">
          <w:marLeft w:val="0"/>
          <w:marRight w:val="0"/>
          <w:marTop w:val="0"/>
          <w:marBottom w:val="192"/>
          <w:divBdr>
            <w:top w:val="none" w:sz="0" w:space="0" w:color="auto"/>
            <w:left w:val="none" w:sz="0" w:space="0" w:color="auto"/>
            <w:bottom w:val="none" w:sz="0" w:space="0" w:color="auto"/>
            <w:right w:val="none" w:sz="0" w:space="0" w:color="auto"/>
          </w:divBdr>
        </w:div>
        <w:div w:id="756177194">
          <w:marLeft w:val="0"/>
          <w:marRight w:val="0"/>
          <w:marTop w:val="0"/>
          <w:marBottom w:val="192"/>
          <w:divBdr>
            <w:top w:val="none" w:sz="0" w:space="0" w:color="auto"/>
            <w:left w:val="none" w:sz="0" w:space="0" w:color="auto"/>
            <w:bottom w:val="none" w:sz="0" w:space="0" w:color="auto"/>
            <w:right w:val="none" w:sz="0" w:space="0" w:color="auto"/>
          </w:divBdr>
        </w:div>
      </w:divsChild>
    </w:div>
    <w:div w:id="1285842269">
      <w:bodyDiv w:val="1"/>
      <w:marLeft w:val="0"/>
      <w:marRight w:val="0"/>
      <w:marTop w:val="0"/>
      <w:marBottom w:val="0"/>
      <w:divBdr>
        <w:top w:val="none" w:sz="0" w:space="0" w:color="auto"/>
        <w:left w:val="none" w:sz="0" w:space="0" w:color="auto"/>
        <w:bottom w:val="none" w:sz="0" w:space="0" w:color="auto"/>
        <w:right w:val="none" w:sz="0" w:space="0" w:color="auto"/>
      </w:divBdr>
    </w:div>
    <w:div w:id="1299919710">
      <w:bodyDiv w:val="1"/>
      <w:marLeft w:val="0"/>
      <w:marRight w:val="0"/>
      <w:marTop w:val="0"/>
      <w:marBottom w:val="0"/>
      <w:divBdr>
        <w:top w:val="none" w:sz="0" w:space="0" w:color="auto"/>
        <w:left w:val="none" w:sz="0" w:space="0" w:color="auto"/>
        <w:bottom w:val="none" w:sz="0" w:space="0" w:color="auto"/>
        <w:right w:val="none" w:sz="0" w:space="0" w:color="auto"/>
      </w:divBdr>
    </w:div>
    <w:div w:id="1358192638">
      <w:bodyDiv w:val="1"/>
      <w:marLeft w:val="0"/>
      <w:marRight w:val="0"/>
      <w:marTop w:val="0"/>
      <w:marBottom w:val="0"/>
      <w:divBdr>
        <w:top w:val="none" w:sz="0" w:space="0" w:color="auto"/>
        <w:left w:val="none" w:sz="0" w:space="0" w:color="auto"/>
        <w:bottom w:val="none" w:sz="0" w:space="0" w:color="auto"/>
        <w:right w:val="none" w:sz="0" w:space="0" w:color="auto"/>
      </w:divBdr>
      <w:divsChild>
        <w:div w:id="545992739">
          <w:marLeft w:val="0"/>
          <w:marRight w:val="0"/>
          <w:marTop w:val="312"/>
          <w:marBottom w:val="96"/>
          <w:divBdr>
            <w:top w:val="none" w:sz="0" w:space="0" w:color="auto"/>
            <w:left w:val="none" w:sz="0" w:space="0" w:color="auto"/>
            <w:bottom w:val="none" w:sz="0" w:space="0" w:color="auto"/>
            <w:right w:val="none" w:sz="0" w:space="0" w:color="auto"/>
          </w:divBdr>
        </w:div>
        <w:div w:id="1038747296">
          <w:marLeft w:val="0"/>
          <w:marRight w:val="0"/>
          <w:marTop w:val="0"/>
          <w:marBottom w:val="192"/>
          <w:divBdr>
            <w:top w:val="none" w:sz="0" w:space="0" w:color="auto"/>
            <w:left w:val="none" w:sz="0" w:space="0" w:color="auto"/>
            <w:bottom w:val="none" w:sz="0" w:space="0" w:color="auto"/>
            <w:right w:val="none" w:sz="0" w:space="0" w:color="auto"/>
          </w:divBdr>
        </w:div>
        <w:div w:id="678235454">
          <w:marLeft w:val="0"/>
          <w:marRight w:val="0"/>
          <w:marTop w:val="0"/>
          <w:marBottom w:val="192"/>
          <w:divBdr>
            <w:top w:val="none" w:sz="0" w:space="0" w:color="auto"/>
            <w:left w:val="none" w:sz="0" w:space="0" w:color="auto"/>
            <w:bottom w:val="none" w:sz="0" w:space="0" w:color="auto"/>
            <w:right w:val="none" w:sz="0" w:space="0" w:color="auto"/>
          </w:divBdr>
        </w:div>
        <w:div w:id="63921512">
          <w:marLeft w:val="0"/>
          <w:marRight w:val="0"/>
          <w:marTop w:val="0"/>
          <w:marBottom w:val="192"/>
          <w:divBdr>
            <w:top w:val="none" w:sz="0" w:space="0" w:color="auto"/>
            <w:left w:val="none" w:sz="0" w:space="0" w:color="auto"/>
            <w:bottom w:val="none" w:sz="0" w:space="0" w:color="auto"/>
            <w:right w:val="none" w:sz="0" w:space="0" w:color="auto"/>
          </w:divBdr>
        </w:div>
        <w:div w:id="3435726">
          <w:marLeft w:val="0"/>
          <w:marRight w:val="0"/>
          <w:marTop w:val="0"/>
          <w:marBottom w:val="192"/>
          <w:divBdr>
            <w:top w:val="none" w:sz="0" w:space="0" w:color="auto"/>
            <w:left w:val="none" w:sz="0" w:space="0" w:color="auto"/>
            <w:bottom w:val="none" w:sz="0" w:space="0" w:color="auto"/>
            <w:right w:val="none" w:sz="0" w:space="0" w:color="auto"/>
          </w:divBdr>
        </w:div>
      </w:divsChild>
    </w:div>
    <w:div w:id="1362702224">
      <w:bodyDiv w:val="1"/>
      <w:marLeft w:val="0"/>
      <w:marRight w:val="0"/>
      <w:marTop w:val="0"/>
      <w:marBottom w:val="0"/>
      <w:divBdr>
        <w:top w:val="none" w:sz="0" w:space="0" w:color="auto"/>
        <w:left w:val="none" w:sz="0" w:space="0" w:color="auto"/>
        <w:bottom w:val="none" w:sz="0" w:space="0" w:color="auto"/>
        <w:right w:val="none" w:sz="0" w:space="0" w:color="auto"/>
      </w:divBdr>
      <w:divsChild>
        <w:div w:id="965699348">
          <w:marLeft w:val="0"/>
          <w:marRight w:val="0"/>
          <w:marTop w:val="0"/>
          <w:marBottom w:val="0"/>
          <w:divBdr>
            <w:top w:val="none" w:sz="0" w:space="0" w:color="auto"/>
            <w:left w:val="none" w:sz="0" w:space="0" w:color="auto"/>
            <w:bottom w:val="none" w:sz="0" w:space="0" w:color="auto"/>
            <w:right w:val="none" w:sz="0" w:space="0" w:color="auto"/>
          </w:divBdr>
        </w:div>
        <w:div w:id="563761986">
          <w:marLeft w:val="624"/>
          <w:marRight w:val="0"/>
          <w:marTop w:val="0"/>
          <w:marBottom w:val="0"/>
          <w:divBdr>
            <w:top w:val="none" w:sz="0" w:space="0" w:color="auto"/>
            <w:left w:val="none" w:sz="0" w:space="0" w:color="auto"/>
            <w:bottom w:val="none" w:sz="0" w:space="0" w:color="auto"/>
            <w:right w:val="none" w:sz="0" w:space="0" w:color="auto"/>
          </w:divBdr>
        </w:div>
        <w:div w:id="502402619">
          <w:marLeft w:val="624"/>
          <w:marRight w:val="0"/>
          <w:marTop w:val="0"/>
          <w:marBottom w:val="0"/>
          <w:divBdr>
            <w:top w:val="none" w:sz="0" w:space="0" w:color="auto"/>
            <w:left w:val="none" w:sz="0" w:space="0" w:color="auto"/>
            <w:bottom w:val="none" w:sz="0" w:space="0" w:color="auto"/>
            <w:right w:val="none" w:sz="0" w:space="0" w:color="auto"/>
          </w:divBdr>
        </w:div>
        <w:div w:id="2032755471">
          <w:marLeft w:val="0"/>
          <w:marRight w:val="0"/>
          <w:marTop w:val="0"/>
          <w:marBottom w:val="192"/>
          <w:divBdr>
            <w:top w:val="none" w:sz="0" w:space="0" w:color="auto"/>
            <w:left w:val="none" w:sz="0" w:space="0" w:color="auto"/>
            <w:bottom w:val="none" w:sz="0" w:space="0" w:color="auto"/>
            <w:right w:val="none" w:sz="0" w:space="0" w:color="auto"/>
          </w:divBdr>
        </w:div>
      </w:divsChild>
    </w:div>
    <w:div w:id="1367440873">
      <w:bodyDiv w:val="1"/>
      <w:marLeft w:val="0"/>
      <w:marRight w:val="0"/>
      <w:marTop w:val="0"/>
      <w:marBottom w:val="0"/>
      <w:divBdr>
        <w:top w:val="none" w:sz="0" w:space="0" w:color="auto"/>
        <w:left w:val="none" w:sz="0" w:space="0" w:color="auto"/>
        <w:bottom w:val="none" w:sz="0" w:space="0" w:color="auto"/>
        <w:right w:val="none" w:sz="0" w:space="0" w:color="auto"/>
      </w:divBdr>
    </w:div>
    <w:div w:id="1390105661">
      <w:bodyDiv w:val="1"/>
      <w:marLeft w:val="0"/>
      <w:marRight w:val="0"/>
      <w:marTop w:val="0"/>
      <w:marBottom w:val="0"/>
      <w:divBdr>
        <w:top w:val="none" w:sz="0" w:space="0" w:color="auto"/>
        <w:left w:val="none" w:sz="0" w:space="0" w:color="auto"/>
        <w:bottom w:val="none" w:sz="0" w:space="0" w:color="auto"/>
        <w:right w:val="none" w:sz="0" w:space="0" w:color="auto"/>
      </w:divBdr>
      <w:divsChild>
        <w:div w:id="1506364180">
          <w:marLeft w:val="0"/>
          <w:marRight w:val="0"/>
          <w:marTop w:val="312"/>
          <w:marBottom w:val="96"/>
          <w:divBdr>
            <w:top w:val="none" w:sz="0" w:space="0" w:color="auto"/>
            <w:left w:val="none" w:sz="0" w:space="0" w:color="auto"/>
            <w:bottom w:val="none" w:sz="0" w:space="0" w:color="auto"/>
            <w:right w:val="none" w:sz="0" w:space="0" w:color="auto"/>
          </w:divBdr>
        </w:div>
        <w:div w:id="1796605744">
          <w:marLeft w:val="0"/>
          <w:marRight w:val="0"/>
          <w:marTop w:val="0"/>
          <w:marBottom w:val="192"/>
          <w:divBdr>
            <w:top w:val="none" w:sz="0" w:space="0" w:color="auto"/>
            <w:left w:val="none" w:sz="0" w:space="0" w:color="auto"/>
            <w:bottom w:val="none" w:sz="0" w:space="0" w:color="auto"/>
            <w:right w:val="none" w:sz="0" w:space="0" w:color="auto"/>
          </w:divBdr>
        </w:div>
      </w:divsChild>
    </w:div>
    <w:div w:id="1450585464">
      <w:bodyDiv w:val="1"/>
      <w:marLeft w:val="0"/>
      <w:marRight w:val="0"/>
      <w:marTop w:val="0"/>
      <w:marBottom w:val="0"/>
      <w:divBdr>
        <w:top w:val="none" w:sz="0" w:space="0" w:color="auto"/>
        <w:left w:val="none" w:sz="0" w:space="0" w:color="auto"/>
        <w:bottom w:val="none" w:sz="0" w:space="0" w:color="auto"/>
        <w:right w:val="none" w:sz="0" w:space="0" w:color="auto"/>
      </w:divBdr>
      <w:divsChild>
        <w:div w:id="701246526">
          <w:marLeft w:val="624"/>
          <w:marRight w:val="0"/>
          <w:marTop w:val="0"/>
          <w:marBottom w:val="0"/>
          <w:divBdr>
            <w:top w:val="none" w:sz="0" w:space="0" w:color="auto"/>
            <w:left w:val="none" w:sz="0" w:space="0" w:color="auto"/>
            <w:bottom w:val="none" w:sz="0" w:space="0" w:color="auto"/>
            <w:right w:val="none" w:sz="0" w:space="0" w:color="auto"/>
          </w:divBdr>
        </w:div>
        <w:div w:id="1546913542">
          <w:marLeft w:val="624"/>
          <w:marRight w:val="0"/>
          <w:marTop w:val="0"/>
          <w:marBottom w:val="0"/>
          <w:divBdr>
            <w:top w:val="none" w:sz="0" w:space="0" w:color="auto"/>
            <w:left w:val="none" w:sz="0" w:space="0" w:color="auto"/>
            <w:bottom w:val="none" w:sz="0" w:space="0" w:color="auto"/>
            <w:right w:val="none" w:sz="0" w:space="0" w:color="auto"/>
          </w:divBdr>
        </w:div>
        <w:div w:id="1769081422">
          <w:marLeft w:val="624"/>
          <w:marRight w:val="0"/>
          <w:marTop w:val="0"/>
          <w:marBottom w:val="0"/>
          <w:divBdr>
            <w:top w:val="none" w:sz="0" w:space="0" w:color="auto"/>
            <w:left w:val="none" w:sz="0" w:space="0" w:color="auto"/>
            <w:bottom w:val="none" w:sz="0" w:space="0" w:color="auto"/>
            <w:right w:val="none" w:sz="0" w:space="0" w:color="auto"/>
          </w:divBdr>
        </w:div>
        <w:div w:id="1577012038">
          <w:marLeft w:val="624"/>
          <w:marRight w:val="0"/>
          <w:marTop w:val="0"/>
          <w:marBottom w:val="0"/>
          <w:divBdr>
            <w:top w:val="none" w:sz="0" w:space="0" w:color="auto"/>
            <w:left w:val="none" w:sz="0" w:space="0" w:color="auto"/>
            <w:bottom w:val="none" w:sz="0" w:space="0" w:color="auto"/>
            <w:right w:val="none" w:sz="0" w:space="0" w:color="auto"/>
          </w:divBdr>
        </w:div>
      </w:divsChild>
    </w:div>
    <w:div w:id="1467963514">
      <w:bodyDiv w:val="1"/>
      <w:marLeft w:val="0"/>
      <w:marRight w:val="0"/>
      <w:marTop w:val="0"/>
      <w:marBottom w:val="0"/>
      <w:divBdr>
        <w:top w:val="none" w:sz="0" w:space="0" w:color="auto"/>
        <w:left w:val="none" w:sz="0" w:space="0" w:color="auto"/>
        <w:bottom w:val="none" w:sz="0" w:space="0" w:color="auto"/>
        <w:right w:val="none" w:sz="0" w:space="0" w:color="auto"/>
      </w:divBdr>
      <w:divsChild>
        <w:div w:id="1521317220">
          <w:marLeft w:val="0"/>
          <w:marRight w:val="0"/>
          <w:marTop w:val="312"/>
          <w:marBottom w:val="96"/>
          <w:divBdr>
            <w:top w:val="none" w:sz="0" w:space="0" w:color="auto"/>
            <w:left w:val="none" w:sz="0" w:space="0" w:color="auto"/>
            <w:bottom w:val="none" w:sz="0" w:space="0" w:color="auto"/>
            <w:right w:val="none" w:sz="0" w:space="0" w:color="auto"/>
          </w:divBdr>
        </w:div>
        <w:div w:id="492141819">
          <w:marLeft w:val="0"/>
          <w:marRight w:val="0"/>
          <w:marTop w:val="0"/>
          <w:marBottom w:val="192"/>
          <w:divBdr>
            <w:top w:val="none" w:sz="0" w:space="0" w:color="auto"/>
            <w:left w:val="none" w:sz="0" w:space="0" w:color="auto"/>
            <w:bottom w:val="none" w:sz="0" w:space="0" w:color="auto"/>
            <w:right w:val="none" w:sz="0" w:space="0" w:color="auto"/>
          </w:divBdr>
        </w:div>
        <w:div w:id="1571886172">
          <w:marLeft w:val="0"/>
          <w:marRight w:val="0"/>
          <w:marTop w:val="0"/>
          <w:marBottom w:val="192"/>
          <w:divBdr>
            <w:top w:val="none" w:sz="0" w:space="0" w:color="auto"/>
            <w:left w:val="none" w:sz="0" w:space="0" w:color="auto"/>
            <w:bottom w:val="none" w:sz="0" w:space="0" w:color="auto"/>
            <w:right w:val="none" w:sz="0" w:space="0" w:color="auto"/>
          </w:divBdr>
        </w:div>
        <w:div w:id="702825870">
          <w:marLeft w:val="0"/>
          <w:marRight w:val="0"/>
          <w:marTop w:val="0"/>
          <w:marBottom w:val="192"/>
          <w:divBdr>
            <w:top w:val="none" w:sz="0" w:space="0" w:color="auto"/>
            <w:left w:val="none" w:sz="0" w:space="0" w:color="auto"/>
            <w:bottom w:val="none" w:sz="0" w:space="0" w:color="auto"/>
            <w:right w:val="none" w:sz="0" w:space="0" w:color="auto"/>
          </w:divBdr>
        </w:div>
        <w:div w:id="1940941267">
          <w:marLeft w:val="0"/>
          <w:marRight w:val="0"/>
          <w:marTop w:val="0"/>
          <w:marBottom w:val="192"/>
          <w:divBdr>
            <w:top w:val="none" w:sz="0" w:space="0" w:color="auto"/>
            <w:left w:val="none" w:sz="0" w:space="0" w:color="auto"/>
            <w:bottom w:val="none" w:sz="0" w:space="0" w:color="auto"/>
            <w:right w:val="none" w:sz="0" w:space="0" w:color="auto"/>
          </w:divBdr>
        </w:div>
        <w:div w:id="1754623873">
          <w:marLeft w:val="0"/>
          <w:marRight w:val="0"/>
          <w:marTop w:val="0"/>
          <w:marBottom w:val="192"/>
          <w:divBdr>
            <w:top w:val="none" w:sz="0" w:space="0" w:color="auto"/>
            <w:left w:val="none" w:sz="0" w:space="0" w:color="auto"/>
            <w:bottom w:val="none" w:sz="0" w:space="0" w:color="auto"/>
            <w:right w:val="none" w:sz="0" w:space="0" w:color="auto"/>
          </w:divBdr>
        </w:div>
      </w:divsChild>
    </w:div>
    <w:div w:id="1505633756">
      <w:bodyDiv w:val="1"/>
      <w:marLeft w:val="0"/>
      <w:marRight w:val="0"/>
      <w:marTop w:val="0"/>
      <w:marBottom w:val="0"/>
      <w:divBdr>
        <w:top w:val="none" w:sz="0" w:space="0" w:color="auto"/>
        <w:left w:val="none" w:sz="0" w:space="0" w:color="auto"/>
        <w:bottom w:val="none" w:sz="0" w:space="0" w:color="auto"/>
        <w:right w:val="none" w:sz="0" w:space="0" w:color="auto"/>
      </w:divBdr>
      <w:divsChild>
        <w:div w:id="213084908">
          <w:marLeft w:val="0"/>
          <w:marRight w:val="0"/>
          <w:marTop w:val="312"/>
          <w:marBottom w:val="96"/>
          <w:divBdr>
            <w:top w:val="none" w:sz="0" w:space="0" w:color="auto"/>
            <w:left w:val="none" w:sz="0" w:space="0" w:color="auto"/>
            <w:bottom w:val="none" w:sz="0" w:space="0" w:color="auto"/>
            <w:right w:val="none" w:sz="0" w:space="0" w:color="auto"/>
          </w:divBdr>
        </w:div>
        <w:div w:id="2081366143">
          <w:marLeft w:val="0"/>
          <w:marRight w:val="0"/>
          <w:marTop w:val="0"/>
          <w:marBottom w:val="192"/>
          <w:divBdr>
            <w:top w:val="none" w:sz="0" w:space="0" w:color="auto"/>
            <w:left w:val="none" w:sz="0" w:space="0" w:color="auto"/>
            <w:bottom w:val="none" w:sz="0" w:space="0" w:color="auto"/>
            <w:right w:val="none" w:sz="0" w:space="0" w:color="auto"/>
          </w:divBdr>
        </w:div>
        <w:div w:id="856507446">
          <w:marLeft w:val="0"/>
          <w:marRight w:val="0"/>
          <w:marTop w:val="0"/>
          <w:marBottom w:val="192"/>
          <w:divBdr>
            <w:top w:val="none" w:sz="0" w:space="0" w:color="auto"/>
            <w:left w:val="none" w:sz="0" w:space="0" w:color="auto"/>
            <w:bottom w:val="none" w:sz="0" w:space="0" w:color="auto"/>
            <w:right w:val="none" w:sz="0" w:space="0" w:color="auto"/>
          </w:divBdr>
        </w:div>
        <w:div w:id="1603567216">
          <w:marLeft w:val="0"/>
          <w:marRight w:val="0"/>
          <w:marTop w:val="0"/>
          <w:marBottom w:val="192"/>
          <w:divBdr>
            <w:top w:val="none" w:sz="0" w:space="0" w:color="auto"/>
            <w:left w:val="none" w:sz="0" w:space="0" w:color="auto"/>
            <w:bottom w:val="none" w:sz="0" w:space="0" w:color="auto"/>
            <w:right w:val="none" w:sz="0" w:space="0" w:color="auto"/>
          </w:divBdr>
        </w:div>
        <w:div w:id="711079008">
          <w:marLeft w:val="0"/>
          <w:marRight w:val="0"/>
          <w:marTop w:val="0"/>
          <w:marBottom w:val="192"/>
          <w:divBdr>
            <w:top w:val="none" w:sz="0" w:space="0" w:color="auto"/>
            <w:left w:val="none" w:sz="0" w:space="0" w:color="auto"/>
            <w:bottom w:val="none" w:sz="0" w:space="0" w:color="auto"/>
            <w:right w:val="none" w:sz="0" w:space="0" w:color="auto"/>
          </w:divBdr>
        </w:div>
      </w:divsChild>
    </w:div>
    <w:div w:id="1513567207">
      <w:bodyDiv w:val="1"/>
      <w:marLeft w:val="0"/>
      <w:marRight w:val="0"/>
      <w:marTop w:val="0"/>
      <w:marBottom w:val="0"/>
      <w:divBdr>
        <w:top w:val="none" w:sz="0" w:space="0" w:color="auto"/>
        <w:left w:val="none" w:sz="0" w:space="0" w:color="auto"/>
        <w:bottom w:val="none" w:sz="0" w:space="0" w:color="auto"/>
        <w:right w:val="none" w:sz="0" w:space="0" w:color="auto"/>
      </w:divBdr>
      <w:divsChild>
        <w:div w:id="1728383035">
          <w:marLeft w:val="0"/>
          <w:marRight w:val="0"/>
          <w:marTop w:val="312"/>
          <w:marBottom w:val="96"/>
          <w:divBdr>
            <w:top w:val="none" w:sz="0" w:space="0" w:color="auto"/>
            <w:left w:val="none" w:sz="0" w:space="0" w:color="auto"/>
            <w:bottom w:val="none" w:sz="0" w:space="0" w:color="auto"/>
            <w:right w:val="none" w:sz="0" w:space="0" w:color="auto"/>
          </w:divBdr>
        </w:div>
      </w:divsChild>
    </w:div>
    <w:div w:id="1549797899">
      <w:bodyDiv w:val="1"/>
      <w:marLeft w:val="0"/>
      <w:marRight w:val="0"/>
      <w:marTop w:val="0"/>
      <w:marBottom w:val="0"/>
      <w:divBdr>
        <w:top w:val="none" w:sz="0" w:space="0" w:color="auto"/>
        <w:left w:val="none" w:sz="0" w:space="0" w:color="auto"/>
        <w:bottom w:val="none" w:sz="0" w:space="0" w:color="auto"/>
        <w:right w:val="none" w:sz="0" w:space="0" w:color="auto"/>
      </w:divBdr>
      <w:divsChild>
        <w:div w:id="1483621898">
          <w:marLeft w:val="0"/>
          <w:marRight w:val="0"/>
          <w:marTop w:val="312"/>
          <w:marBottom w:val="96"/>
          <w:divBdr>
            <w:top w:val="none" w:sz="0" w:space="0" w:color="auto"/>
            <w:left w:val="none" w:sz="0" w:space="0" w:color="auto"/>
            <w:bottom w:val="none" w:sz="0" w:space="0" w:color="auto"/>
            <w:right w:val="none" w:sz="0" w:space="0" w:color="auto"/>
          </w:divBdr>
        </w:div>
        <w:div w:id="126969880">
          <w:marLeft w:val="0"/>
          <w:marRight w:val="0"/>
          <w:marTop w:val="96"/>
          <w:marBottom w:val="312"/>
          <w:divBdr>
            <w:top w:val="none" w:sz="0" w:space="0" w:color="auto"/>
            <w:left w:val="none" w:sz="0" w:space="0" w:color="auto"/>
            <w:bottom w:val="none" w:sz="0" w:space="0" w:color="auto"/>
            <w:right w:val="none" w:sz="0" w:space="0" w:color="auto"/>
          </w:divBdr>
        </w:div>
        <w:div w:id="357660397">
          <w:marLeft w:val="0"/>
          <w:marRight w:val="0"/>
          <w:marTop w:val="0"/>
          <w:marBottom w:val="192"/>
          <w:divBdr>
            <w:top w:val="none" w:sz="0" w:space="0" w:color="auto"/>
            <w:left w:val="none" w:sz="0" w:space="0" w:color="auto"/>
            <w:bottom w:val="none" w:sz="0" w:space="0" w:color="auto"/>
            <w:right w:val="none" w:sz="0" w:space="0" w:color="auto"/>
          </w:divBdr>
        </w:div>
        <w:div w:id="2130779680">
          <w:marLeft w:val="0"/>
          <w:marRight w:val="0"/>
          <w:marTop w:val="0"/>
          <w:marBottom w:val="192"/>
          <w:divBdr>
            <w:top w:val="none" w:sz="0" w:space="0" w:color="auto"/>
            <w:left w:val="none" w:sz="0" w:space="0" w:color="auto"/>
            <w:bottom w:val="none" w:sz="0" w:space="0" w:color="auto"/>
            <w:right w:val="none" w:sz="0" w:space="0" w:color="auto"/>
          </w:divBdr>
        </w:div>
        <w:div w:id="912466592">
          <w:marLeft w:val="0"/>
          <w:marRight w:val="0"/>
          <w:marTop w:val="0"/>
          <w:marBottom w:val="192"/>
          <w:divBdr>
            <w:top w:val="none" w:sz="0" w:space="0" w:color="auto"/>
            <w:left w:val="none" w:sz="0" w:space="0" w:color="auto"/>
            <w:bottom w:val="none" w:sz="0" w:space="0" w:color="auto"/>
            <w:right w:val="none" w:sz="0" w:space="0" w:color="auto"/>
          </w:divBdr>
        </w:div>
      </w:divsChild>
    </w:div>
    <w:div w:id="1582108031">
      <w:bodyDiv w:val="1"/>
      <w:marLeft w:val="0"/>
      <w:marRight w:val="0"/>
      <w:marTop w:val="0"/>
      <w:marBottom w:val="0"/>
      <w:divBdr>
        <w:top w:val="none" w:sz="0" w:space="0" w:color="auto"/>
        <w:left w:val="none" w:sz="0" w:space="0" w:color="auto"/>
        <w:bottom w:val="none" w:sz="0" w:space="0" w:color="auto"/>
        <w:right w:val="none" w:sz="0" w:space="0" w:color="auto"/>
      </w:divBdr>
      <w:divsChild>
        <w:div w:id="302198858">
          <w:marLeft w:val="0"/>
          <w:marRight w:val="0"/>
          <w:marTop w:val="0"/>
          <w:marBottom w:val="0"/>
          <w:divBdr>
            <w:top w:val="none" w:sz="0" w:space="0" w:color="auto"/>
            <w:left w:val="none" w:sz="0" w:space="0" w:color="auto"/>
            <w:bottom w:val="none" w:sz="0" w:space="0" w:color="auto"/>
            <w:right w:val="none" w:sz="0" w:space="0" w:color="auto"/>
          </w:divBdr>
        </w:div>
        <w:div w:id="739059875">
          <w:marLeft w:val="624"/>
          <w:marRight w:val="0"/>
          <w:marTop w:val="0"/>
          <w:marBottom w:val="0"/>
          <w:divBdr>
            <w:top w:val="none" w:sz="0" w:space="0" w:color="auto"/>
            <w:left w:val="none" w:sz="0" w:space="0" w:color="auto"/>
            <w:bottom w:val="none" w:sz="0" w:space="0" w:color="auto"/>
            <w:right w:val="none" w:sz="0" w:space="0" w:color="auto"/>
          </w:divBdr>
        </w:div>
        <w:div w:id="447549237">
          <w:marLeft w:val="624"/>
          <w:marRight w:val="0"/>
          <w:marTop w:val="0"/>
          <w:marBottom w:val="0"/>
          <w:divBdr>
            <w:top w:val="none" w:sz="0" w:space="0" w:color="auto"/>
            <w:left w:val="none" w:sz="0" w:space="0" w:color="auto"/>
            <w:bottom w:val="none" w:sz="0" w:space="0" w:color="auto"/>
            <w:right w:val="none" w:sz="0" w:space="0" w:color="auto"/>
          </w:divBdr>
        </w:div>
        <w:div w:id="2136828291">
          <w:marLeft w:val="0"/>
          <w:marRight w:val="0"/>
          <w:marTop w:val="0"/>
          <w:marBottom w:val="192"/>
          <w:divBdr>
            <w:top w:val="none" w:sz="0" w:space="0" w:color="auto"/>
            <w:left w:val="none" w:sz="0" w:space="0" w:color="auto"/>
            <w:bottom w:val="none" w:sz="0" w:space="0" w:color="auto"/>
            <w:right w:val="none" w:sz="0" w:space="0" w:color="auto"/>
          </w:divBdr>
        </w:div>
      </w:divsChild>
    </w:div>
    <w:div w:id="1625844951">
      <w:bodyDiv w:val="1"/>
      <w:marLeft w:val="0"/>
      <w:marRight w:val="0"/>
      <w:marTop w:val="0"/>
      <w:marBottom w:val="0"/>
      <w:divBdr>
        <w:top w:val="none" w:sz="0" w:space="0" w:color="auto"/>
        <w:left w:val="none" w:sz="0" w:space="0" w:color="auto"/>
        <w:bottom w:val="none" w:sz="0" w:space="0" w:color="auto"/>
        <w:right w:val="none" w:sz="0" w:space="0" w:color="auto"/>
      </w:divBdr>
      <w:divsChild>
        <w:div w:id="235746438">
          <w:marLeft w:val="0"/>
          <w:marRight w:val="0"/>
          <w:marTop w:val="312"/>
          <w:marBottom w:val="96"/>
          <w:divBdr>
            <w:top w:val="none" w:sz="0" w:space="0" w:color="auto"/>
            <w:left w:val="none" w:sz="0" w:space="0" w:color="auto"/>
            <w:bottom w:val="none" w:sz="0" w:space="0" w:color="auto"/>
            <w:right w:val="none" w:sz="0" w:space="0" w:color="auto"/>
          </w:divBdr>
        </w:div>
        <w:div w:id="262305196">
          <w:marLeft w:val="0"/>
          <w:marRight w:val="0"/>
          <w:marTop w:val="0"/>
          <w:marBottom w:val="192"/>
          <w:divBdr>
            <w:top w:val="none" w:sz="0" w:space="0" w:color="auto"/>
            <w:left w:val="none" w:sz="0" w:space="0" w:color="auto"/>
            <w:bottom w:val="none" w:sz="0" w:space="0" w:color="auto"/>
            <w:right w:val="none" w:sz="0" w:space="0" w:color="auto"/>
          </w:divBdr>
        </w:div>
      </w:divsChild>
    </w:div>
    <w:div w:id="1654287404">
      <w:bodyDiv w:val="1"/>
      <w:marLeft w:val="0"/>
      <w:marRight w:val="0"/>
      <w:marTop w:val="0"/>
      <w:marBottom w:val="0"/>
      <w:divBdr>
        <w:top w:val="none" w:sz="0" w:space="0" w:color="auto"/>
        <w:left w:val="none" w:sz="0" w:space="0" w:color="auto"/>
        <w:bottom w:val="none" w:sz="0" w:space="0" w:color="auto"/>
        <w:right w:val="none" w:sz="0" w:space="0" w:color="auto"/>
      </w:divBdr>
    </w:div>
    <w:div w:id="1760828211">
      <w:bodyDiv w:val="1"/>
      <w:marLeft w:val="0"/>
      <w:marRight w:val="0"/>
      <w:marTop w:val="0"/>
      <w:marBottom w:val="0"/>
      <w:divBdr>
        <w:top w:val="none" w:sz="0" w:space="0" w:color="auto"/>
        <w:left w:val="none" w:sz="0" w:space="0" w:color="auto"/>
        <w:bottom w:val="none" w:sz="0" w:space="0" w:color="auto"/>
        <w:right w:val="none" w:sz="0" w:space="0" w:color="auto"/>
      </w:divBdr>
    </w:div>
    <w:div w:id="1781487809">
      <w:bodyDiv w:val="1"/>
      <w:marLeft w:val="0"/>
      <w:marRight w:val="0"/>
      <w:marTop w:val="0"/>
      <w:marBottom w:val="0"/>
      <w:divBdr>
        <w:top w:val="none" w:sz="0" w:space="0" w:color="auto"/>
        <w:left w:val="none" w:sz="0" w:space="0" w:color="auto"/>
        <w:bottom w:val="none" w:sz="0" w:space="0" w:color="auto"/>
        <w:right w:val="none" w:sz="0" w:space="0" w:color="auto"/>
      </w:divBdr>
      <w:divsChild>
        <w:div w:id="817455405">
          <w:marLeft w:val="0"/>
          <w:marRight w:val="0"/>
          <w:marTop w:val="0"/>
          <w:marBottom w:val="0"/>
          <w:divBdr>
            <w:top w:val="none" w:sz="0" w:space="0" w:color="auto"/>
            <w:left w:val="none" w:sz="0" w:space="0" w:color="auto"/>
            <w:bottom w:val="none" w:sz="0" w:space="0" w:color="auto"/>
            <w:right w:val="none" w:sz="0" w:space="0" w:color="auto"/>
          </w:divBdr>
          <w:divsChild>
            <w:div w:id="852843514">
              <w:marLeft w:val="0"/>
              <w:marRight w:val="0"/>
              <w:marTop w:val="0"/>
              <w:marBottom w:val="0"/>
              <w:divBdr>
                <w:top w:val="none" w:sz="0" w:space="0" w:color="auto"/>
                <w:left w:val="none" w:sz="0" w:space="0" w:color="auto"/>
                <w:bottom w:val="none" w:sz="0" w:space="0" w:color="auto"/>
                <w:right w:val="none" w:sz="0" w:space="0" w:color="auto"/>
              </w:divBdr>
            </w:div>
          </w:divsChild>
        </w:div>
        <w:div w:id="163594193">
          <w:marLeft w:val="0"/>
          <w:marRight w:val="0"/>
          <w:marTop w:val="0"/>
          <w:marBottom w:val="0"/>
          <w:divBdr>
            <w:top w:val="none" w:sz="0" w:space="0" w:color="auto"/>
            <w:left w:val="none" w:sz="0" w:space="0" w:color="auto"/>
            <w:bottom w:val="none" w:sz="0" w:space="0" w:color="auto"/>
            <w:right w:val="none" w:sz="0" w:space="0" w:color="auto"/>
          </w:divBdr>
          <w:divsChild>
            <w:div w:id="438722920">
              <w:marLeft w:val="0"/>
              <w:marRight w:val="0"/>
              <w:marTop w:val="0"/>
              <w:marBottom w:val="0"/>
              <w:divBdr>
                <w:top w:val="none" w:sz="0" w:space="0" w:color="auto"/>
                <w:left w:val="none" w:sz="0" w:space="0" w:color="auto"/>
                <w:bottom w:val="none" w:sz="0" w:space="0" w:color="auto"/>
                <w:right w:val="none" w:sz="0" w:space="0" w:color="auto"/>
              </w:divBdr>
            </w:div>
          </w:divsChild>
        </w:div>
        <w:div w:id="1998683094">
          <w:marLeft w:val="0"/>
          <w:marRight w:val="0"/>
          <w:marTop w:val="0"/>
          <w:marBottom w:val="0"/>
          <w:divBdr>
            <w:top w:val="none" w:sz="0" w:space="0" w:color="auto"/>
            <w:left w:val="none" w:sz="0" w:space="0" w:color="auto"/>
            <w:bottom w:val="none" w:sz="0" w:space="0" w:color="auto"/>
            <w:right w:val="none" w:sz="0" w:space="0" w:color="auto"/>
          </w:divBdr>
          <w:divsChild>
            <w:div w:id="14247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3863">
      <w:bodyDiv w:val="1"/>
      <w:marLeft w:val="0"/>
      <w:marRight w:val="0"/>
      <w:marTop w:val="0"/>
      <w:marBottom w:val="0"/>
      <w:divBdr>
        <w:top w:val="none" w:sz="0" w:space="0" w:color="auto"/>
        <w:left w:val="none" w:sz="0" w:space="0" w:color="auto"/>
        <w:bottom w:val="none" w:sz="0" w:space="0" w:color="auto"/>
        <w:right w:val="none" w:sz="0" w:space="0" w:color="auto"/>
      </w:divBdr>
      <w:divsChild>
        <w:div w:id="799156524">
          <w:marLeft w:val="0"/>
          <w:marRight w:val="0"/>
          <w:marTop w:val="312"/>
          <w:marBottom w:val="96"/>
          <w:divBdr>
            <w:top w:val="none" w:sz="0" w:space="0" w:color="auto"/>
            <w:left w:val="none" w:sz="0" w:space="0" w:color="auto"/>
            <w:bottom w:val="none" w:sz="0" w:space="0" w:color="auto"/>
            <w:right w:val="none" w:sz="0" w:space="0" w:color="auto"/>
          </w:divBdr>
        </w:div>
        <w:div w:id="210771209">
          <w:marLeft w:val="0"/>
          <w:marRight w:val="0"/>
          <w:marTop w:val="0"/>
          <w:marBottom w:val="192"/>
          <w:divBdr>
            <w:top w:val="none" w:sz="0" w:space="0" w:color="auto"/>
            <w:left w:val="none" w:sz="0" w:space="0" w:color="auto"/>
            <w:bottom w:val="none" w:sz="0" w:space="0" w:color="auto"/>
            <w:right w:val="none" w:sz="0" w:space="0" w:color="auto"/>
          </w:divBdr>
        </w:div>
        <w:div w:id="2144929001">
          <w:marLeft w:val="0"/>
          <w:marRight w:val="0"/>
          <w:marTop w:val="0"/>
          <w:marBottom w:val="192"/>
          <w:divBdr>
            <w:top w:val="none" w:sz="0" w:space="0" w:color="auto"/>
            <w:left w:val="none" w:sz="0" w:space="0" w:color="auto"/>
            <w:bottom w:val="none" w:sz="0" w:space="0" w:color="auto"/>
            <w:right w:val="none" w:sz="0" w:space="0" w:color="auto"/>
          </w:divBdr>
        </w:div>
      </w:divsChild>
    </w:div>
    <w:div w:id="1856377883">
      <w:bodyDiv w:val="1"/>
      <w:marLeft w:val="0"/>
      <w:marRight w:val="0"/>
      <w:marTop w:val="0"/>
      <w:marBottom w:val="0"/>
      <w:divBdr>
        <w:top w:val="none" w:sz="0" w:space="0" w:color="auto"/>
        <w:left w:val="none" w:sz="0" w:space="0" w:color="auto"/>
        <w:bottom w:val="none" w:sz="0" w:space="0" w:color="auto"/>
        <w:right w:val="none" w:sz="0" w:space="0" w:color="auto"/>
      </w:divBdr>
      <w:divsChild>
        <w:div w:id="185146418">
          <w:marLeft w:val="0"/>
          <w:marRight w:val="0"/>
          <w:marTop w:val="312"/>
          <w:marBottom w:val="96"/>
          <w:divBdr>
            <w:top w:val="none" w:sz="0" w:space="0" w:color="auto"/>
            <w:left w:val="none" w:sz="0" w:space="0" w:color="auto"/>
            <w:bottom w:val="none" w:sz="0" w:space="0" w:color="auto"/>
            <w:right w:val="none" w:sz="0" w:space="0" w:color="auto"/>
          </w:divBdr>
        </w:div>
        <w:div w:id="1092707039">
          <w:marLeft w:val="0"/>
          <w:marRight w:val="0"/>
          <w:marTop w:val="0"/>
          <w:marBottom w:val="192"/>
          <w:divBdr>
            <w:top w:val="none" w:sz="0" w:space="0" w:color="auto"/>
            <w:left w:val="none" w:sz="0" w:space="0" w:color="auto"/>
            <w:bottom w:val="none" w:sz="0" w:space="0" w:color="auto"/>
            <w:right w:val="none" w:sz="0" w:space="0" w:color="auto"/>
          </w:divBdr>
        </w:div>
        <w:div w:id="905997722">
          <w:marLeft w:val="0"/>
          <w:marRight w:val="0"/>
          <w:marTop w:val="0"/>
          <w:marBottom w:val="192"/>
          <w:divBdr>
            <w:top w:val="none" w:sz="0" w:space="0" w:color="auto"/>
            <w:left w:val="none" w:sz="0" w:space="0" w:color="auto"/>
            <w:bottom w:val="none" w:sz="0" w:space="0" w:color="auto"/>
            <w:right w:val="none" w:sz="0" w:space="0" w:color="auto"/>
          </w:divBdr>
        </w:div>
        <w:div w:id="302736108">
          <w:marLeft w:val="0"/>
          <w:marRight w:val="0"/>
          <w:marTop w:val="0"/>
          <w:marBottom w:val="192"/>
          <w:divBdr>
            <w:top w:val="none" w:sz="0" w:space="0" w:color="auto"/>
            <w:left w:val="none" w:sz="0" w:space="0" w:color="auto"/>
            <w:bottom w:val="none" w:sz="0" w:space="0" w:color="auto"/>
            <w:right w:val="none" w:sz="0" w:space="0" w:color="auto"/>
          </w:divBdr>
          <w:divsChild>
            <w:div w:id="1165318026">
              <w:marLeft w:val="0"/>
              <w:marRight w:val="0"/>
              <w:marTop w:val="0"/>
              <w:marBottom w:val="0"/>
              <w:divBdr>
                <w:top w:val="none" w:sz="0" w:space="0" w:color="auto"/>
                <w:left w:val="none" w:sz="0" w:space="0" w:color="auto"/>
                <w:bottom w:val="none" w:sz="0" w:space="0" w:color="auto"/>
                <w:right w:val="none" w:sz="0" w:space="0" w:color="auto"/>
              </w:divBdr>
            </w:div>
            <w:div w:id="2042046433">
              <w:marLeft w:val="624"/>
              <w:marRight w:val="0"/>
              <w:marTop w:val="0"/>
              <w:marBottom w:val="0"/>
              <w:divBdr>
                <w:top w:val="none" w:sz="0" w:space="0" w:color="auto"/>
                <w:left w:val="none" w:sz="0" w:space="0" w:color="auto"/>
                <w:bottom w:val="none" w:sz="0" w:space="0" w:color="auto"/>
                <w:right w:val="none" w:sz="0" w:space="0" w:color="auto"/>
              </w:divBdr>
            </w:div>
            <w:div w:id="28186487">
              <w:marLeft w:val="624"/>
              <w:marRight w:val="0"/>
              <w:marTop w:val="0"/>
              <w:marBottom w:val="0"/>
              <w:divBdr>
                <w:top w:val="none" w:sz="0" w:space="0" w:color="auto"/>
                <w:left w:val="none" w:sz="0" w:space="0" w:color="auto"/>
                <w:bottom w:val="none" w:sz="0" w:space="0" w:color="auto"/>
                <w:right w:val="none" w:sz="0" w:space="0" w:color="auto"/>
              </w:divBdr>
            </w:div>
            <w:div w:id="1084381648">
              <w:marLeft w:val="624"/>
              <w:marRight w:val="0"/>
              <w:marTop w:val="0"/>
              <w:marBottom w:val="0"/>
              <w:divBdr>
                <w:top w:val="none" w:sz="0" w:space="0" w:color="auto"/>
                <w:left w:val="none" w:sz="0" w:space="0" w:color="auto"/>
                <w:bottom w:val="none" w:sz="0" w:space="0" w:color="auto"/>
                <w:right w:val="none" w:sz="0" w:space="0" w:color="auto"/>
              </w:divBdr>
            </w:div>
          </w:divsChild>
        </w:div>
        <w:div w:id="702708855">
          <w:marLeft w:val="0"/>
          <w:marRight w:val="0"/>
          <w:marTop w:val="0"/>
          <w:marBottom w:val="192"/>
          <w:divBdr>
            <w:top w:val="none" w:sz="0" w:space="0" w:color="auto"/>
            <w:left w:val="none" w:sz="0" w:space="0" w:color="auto"/>
            <w:bottom w:val="none" w:sz="0" w:space="0" w:color="auto"/>
            <w:right w:val="none" w:sz="0" w:space="0" w:color="auto"/>
          </w:divBdr>
        </w:div>
        <w:div w:id="300421814">
          <w:marLeft w:val="0"/>
          <w:marRight w:val="0"/>
          <w:marTop w:val="0"/>
          <w:marBottom w:val="192"/>
          <w:divBdr>
            <w:top w:val="none" w:sz="0" w:space="0" w:color="auto"/>
            <w:left w:val="none" w:sz="0" w:space="0" w:color="auto"/>
            <w:bottom w:val="none" w:sz="0" w:space="0" w:color="auto"/>
            <w:right w:val="none" w:sz="0" w:space="0" w:color="auto"/>
          </w:divBdr>
        </w:div>
      </w:divsChild>
    </w:div>
    <w:div w:id="1875850205">
      <w:bodyDiv w:val="1"/>
      <w:marLeft w:val="0"/>
      <w:marRight w:val="0"/>
      <w:marTop w:val="0"/>
      <w:marBottom w:val="0"/>
      <w:divBdr>
        <w:top w:val="none" w:sz="0" w:space="0" w:color="auto"/>
        <w:left w:val="none" w:sz="0" w:space="0" w:color="auto"/>
        <w:bottom w:val="none" w:sz="0" w:space="0" w:color="auto"/>
        <w:right w:val="none" w:sz="0" w:space="0" w:color="auto"/>
      </w:divBdr>
      <w:divsChild>
        <w:div w:id="918901169">
          <w:marLeft w:val="0"/>
          <w:marRight w:val="0"/>
          <w:marTop w:val="0"/>
          <w:marBottom w:val="0"/>
          <w:divBdr>
            <w:top w:val="none" w:sz="0" w:space="0" w:color="auto"/>
            <w:left w:val="none" w:sz="0" w:space="0" w:color="auto"/>
            <w:bottom w:val="none" w:sz="0" w:space="0" w:color="auto"/>
            <w:right w:val="none" w:sz="0" w:space="0" w:color="auto"/>
          </w:divBdr>
          <w:divsChild>
            <w:div w:id="1866937726">
              <w:marLeft w:val="0"/>
              <w:marRight w:val="0"/>
              <w:marTop w:val="0"/>
              <w:marBottom w:val="0"/>
              <w:divBdr>
                <w:top w:val="none" w:sz="0" w:space="0" w:color="auto"/>
                <w:left w:val="none" w:sz="0" w:space="0" w:color="auto"/>
                <w:bottom w:val="none" w:sz="0" w:space="0" w:color="auto"/>
                <w:right w:val="none" w:sz="0" w:space="0" w:color="auto"/>
              </w:divBdr>
              <w:divsChild>
                <w:div w:id="292635742">
                  <w:marLeft w:val="0"/>
                  <w:marRight w:val="0"/>
                  <w:marTop w:val="0"/>
                  <w:marBottom w:val="0"/>
                  <w:divBdr>
                    <w:top w:val="none" w:sz="0" w:space="0" w:color="auto"/>
                    <w:left w:val="none" w:sz="0" w:space="0" w:color="auto"/>
                    <w:bottom w:val="none" w:sz="0" w:space="0" w:color="auto"/>
                    <w:right w:val="none" w:sz="0" w:space="0" w:color="auto"/>
                  </w:divBdr>
                  <w:divsChild>
                    <w:div w:id="661203464">
                      <w:marLeft w:val="0"/>
                      <w:marRight w:val="0"/>
                      <w:marTop w:val="226"/>
                      <w:marBottom w:val="113"/>
                      <w:divBdr>
                        <w:top w:val="none" w:sz="0" w:space="0" w:color="auto"/>
                        <w:left w:val="none" w:sz="0" w:space="0" w:color="auto"/>
                        <w:bottom w:val="none" w:sz="0" w:space="0" w:color="auto"/>
                        <w:right w:val="none" w:sz="0" w:space="0" w:color="auto"/>
                      </w:divBdr>
                    </w:div>
                  </w:divsChild>
                </w:div>
              </w:divsChild>
            </w:div>
          </w:divsChild>
        </w:div>
        <w:div w:id="1897084480">
          <w:marLeft w:val="0"/>
          <w:marRight w:val="0"/>
          <w:marTop w:val="0"/>
          <w:marBottom w:val="0"/>
          <w:divBdr>
            <w:top w:val="none" w:sz="0" w:space="0" w:color="auto"/>
            <w:left w:val="none" w:sz="0" w:space="0" w:color="auto"/>
            <w:bottom w:val="none" w:sz="0" w:space="0" w:color="auto"/>
            <w:right w:val="none" w:sz="0" w:space="0" w:color="auto"/>
          </w:divBdr>
          <w:divsChild>
            <w:div w:id="491870287">
              <w:marLeft w:val="0"/>
              <w:marRight w:val="0"/>
              <w:marTop w:val="0"/>
              <w:marBottom w:val="0"/>
              <w:divBdr>
                <w:top w:val="none" w:sz="0" w:space="0" w:color="auto"/>
                <w:left w:val="none" w:sz="0" w:space="0" w:color="auto"/>
                <w:bottom w:val="none" w:sz="0" w:space="0" w:color="auto"/>
                <w:right w:val="none" w:sz="0" w:space="0" w:color="auto"/>
              </w:divBdr>
              <w:divsChild>
                <w:div w:id="62259324">
                  <w:marLeft w:val="946"/>
                  <w:marRight w:val="0"/>
                  <w:marTop w:val="0"/>
                  <w:marBottom w:val="0"/>
                  <w:divBdr>
                    <w:top w:val="none" w:sz="0" w:space="0" w:color="auto"/>
                    <w:left w:val="none" w:sz="0" w:space="0" w:color="auto"/>
                    <w:bottom w:val="none" w:sz="0" w:space="0" w:color="auto"/>
                    <w:right w:val="none" w:sz="0" w:space="0" w:color="auto"/>
                  </w:divBdr>
                  <w:divsChild>
                    <w:div w:id="499588361">
                      <w:marLeft w:val="0"/>
                      <w:marRight w:val="850"/>
                      <w:marTop w:val="0"/>
                      <w:marBottom w:val="58"/>
                      <w:divBdr>
                        <w:top w:val="none" w:sz="0" w:space="0" w:color="auto"/>
                        <w:left w:val="none" w:sz="0" w:space="0" w:color="auto"/>
                        <w:bottom w:val="none" w:sz="0" w:space="0" w:color="auto"/>
                        <w:right w:val="none" w:sz="0" w:space="0" w:color="auto"/>
                      </w:divBdr>
                    </w:div>
                  </w:divsChild>
                </w:div>
              </w:divsChild>
            </w:div>
          </w:divsChild>
        </w:div>
        <w:div w:id="282539952">
          <w:marLeft w:val="0"/>
          <w:marRight w:val="0"/>
          <w:marTop w:val="0"/>
          <w:marBottom w:val="0"/>
          <w:divBdr>
            <w:top w:val="none" w:sz="0" w:space="0" w:color="auto"/>
            <w:left w:val="none" w:sz="0" w:space="0" w:color="auto"/>
            <w:bottom w:val="none" w:sz="0" w:space="0" w:color="auto"/>
            <w:right w:val="none" w:sz="0" w:space="0" w:color="auto"/>
          </w:divBdr>
          <w:divsChild>
            <w:div w:id="249169527">
              <w:marLeft w:val="0"/>
              <w:marRight w:val="0"/>
              <w:marTop w:val="0"/>
              <w:marBottom w:val="0"/>
              <w:divBdr>
                <w:top w:val="none" w:sz="0" w:space="0" w:color="auto"/>
                <w:left w:val="none" w:sz="0" w:space="0" w:color="auto"/>
                <w:bottom w:val="none" w:sz="0" w:space="0" w:color="auto"/>
                <w:right w:val="none" w:sz="0" w:space="0" w:color="auto"/>
              </w:divBdr>
              <w:divsChild>
                <w:div w:id="1797528898">
                  <w:marLeft w:val="0"/>
                  <w:marRight w:val="0"/>
                  <w:marTop w:val="0"/>
                  <w:marBottom w:val="0"/>
                  <w:divBdr>
                    <w:top w:val="none" w:sz="0" w:space="0" w:color="auto"/>
                    <w:left w:val="none" w:sz="0" w:space="0" w:color="auto"/>
                    <w:bottom w:val="none" w:sz="0" w:space="0" w:color="auto"/>
                    <w:right w:val="none" w:sz="0" w:space="0" w:color="auto"/>
                  </w:divBdr>
                  <w:divsChild>
                    <w:div w:id="1209760279">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 w:id="1878925366">
      <w:bodyDiv w:val="1"/>
      <w:marLeft w:val="0"/>
      <w:marRight w:val="0"/>
      <w:marTop w:val="0"/>
      <w:marBottom w:val="0"/>
      <w:divBdr>
        <w:top w:val="none" w:sz="0" w:space="0" w:color="auto"/>
        <w:left w:val="none" w:sz="0" w:space="0" w:color="auto"/>
        <w:bottom w:val="none" w:sz="0" w:space="0" w:color="auto"/>
        <w:right w:val="none" w:sz="0" w:space="0" w:color="auto"/>
      </w:divBdr>
      <w:divsChild>
        <w:div w:id="1950115953">
          <w:marLeft w:val="0"/>
          <w:marRight w:val="0"/>
          <w:marTop w:val="312"/>
          <w:marBottom w:val="96"/>
          <w:divBdr>
            <w:top w:val="none" w:sz="0" w:space="0" w:color="auto"/>
            <w:left w:val="none" w:sz="0" w:space="0" w:color="auto"/>
            <w:bottom w:val="none" w:sz="0" w:space="0" w:color="auto"/>
            <w:right w:val="none" w:sz="0" w:space="0" w:color="auto"/>
          </w:divBdr>
        </w:div>
        <w:div w:id="1616017721">
          <w:marLeft w:val="0"/>
          <w:marRight w:val="0"/>
          <w:marTop w:val="0"/>
          <w:marBottom w:val="192"/>
          <w:divBdr>
            <w:top w:val="none" w:sz="0" w:space="0" w:color="auto"/>
            <w:left w:val="none" w:sz="0" w:space="0" w:color="auto"/>
            <w:bottom w:val="none" w:sz="0" w:space="0" w:color="auto"/>
            <w:right w:val="none" w:sz="0" w:space="0" w:color="auto"/>
          </w:divBdr>
        </w:div>
        <w:div w:id="856382738">
          <w:marLeft w:val="0"/>
          <w:marRight w:val="0"/>
          <w:marTop w:val="0"/>
          <w:marBottom w:val="192"/>
          <w:divBdr>
            <w:top w:val="none" w:sz="0" w:space="0" w:color="auto"/>
            <w:left w:val="none" w:sz="0" w:space="0" w:color="auto"/>
            <w:bottom w:val="none" w:sz="0" w:space="0" w:color="auto"/>
            <w:right w:val="none" w:sz="0" w:space="0" w:color="auto"/>
          </w:divBdr>
        </w:div>
        <w:div w:id="317464178">
          <w:marLeft w:val="0"/>
          <w:marRight w:val="0"/>
          <w:marTop w:val="0"/>
          <w:marBottom w:val="192"/>
          <w:divBdr>
            <w:top w:val="none" w:sz="0" w:space="0" w:color="auto"/>
            <w:left w:val="none" w:sz="0" w:space="0" w:color="auto"/>
            <w:bottom w:val="none" w:sz="0" w:space="0" w:color="auto"/>
            <w:right w:val="none" w:sz="0" w:space="0" w:color="auto"/>
          </w:divBdr>
        </w:div>
        <w:div w:id="346641864">
          <w:marLeft w:val="0"/>
          <w:marRight w:val="0"/>
          <w:marTop w:val="0"/>
          <w:marBottom w:val="192"/>
          <w:divBdr>
            <w:top w:val="none" w:sz="0" w:space="0" w:color="auto"/>
            <w:left w:val="none" w:sz="0" w:space="0" w:color="auto"/>
            <w:bottom w:val="none" w:sz="0" w:space="0" w:color="auto"/>
            <w:right w:val="none" w:sz="0" w:space="0" w:color="auto"/>
          </w:divBdr>
        </w:div>
        <w:div w:id="1995186184">
          <w:marLeft w:val="0"/>
          <w:marRight w:val="0"/>
          <w:marTop w:val="0"/>
          <w:marBottom w:val="192"/>
          <w:divBdr>
            <w:top w:val="none" w:sz="0" w:space="0" w:color="auto"/>
            <w:left w:val="none" w:sz="0" w:space="0" w:color="auto"/>
            <w:bottom w:val="none" w:sz="0" w:space="0" w:color="auto"/>
            <w:right w:val="none" w:sz="0" w:space="0" w:color="auto"/>
          </w:divBdr>
        </w:div>
      </w:divsChild>
    </w:div>
    <w:div w:id="1905332422">
      <w:bodyDiv w:val="1"/>
      <w:marLeft w:val="0"/>
      <w:marRight w:val="0"/>
      <w:marTop w:val="0"/>
      <w:marBottom w:val="0"/>
      <w:divBdr>
        <w:top w:val="none" w:sz="0" w:space="0" w:color="auto"/>
        <w:left w:val="none" w:sz="0" w:space="0" w:color="auto"/>
        <w:bottom w:val="none" w:sz="0" w:space="0" w:color="auto"/>
        <w:right w:val="none" w:sz="0" w:space="0" w:color="auto"/>
      </w:divBdr>
      <w:divsChild>
        <w:div w:id="709721804">
          <w:marLeft w:val="0"/>
          <w:marRight w:val="0"/>
          <w:marTop w:val="312"/>
          <w:marBottom w:val="96"/>
          <w:divBdr>
            <w:top w:val="none" w:sz="0" w:space="0" w:color="auto"/>
            <w:left w:val="none" w:sz="0" w:space="0" w:color="auto"/>
            <w:bottom w:val="none" w:sz="0" w:space="0" w:color="auto"/>
            <w:right w:val="none" w:sz="0" w:space="0" w:color="auto"/>
          </w:divBdr>
        </w:div>
        <w:div w:id="355926190">
          <w:marLeft w:val="0"/>
          <w:marRight w:val="0"/>
          <w:marTop w:val="96"/>
          <w:marBottom w:val="312"/>
          <w:divBdr>
            <w:top w:val="none" w:sz="0" w:space="0" w:color="auto"/>
            <w:left w:val="none" w:sz="0" w:space="0" w:color="auto"/>
            <w:bottom w:val="none" w:sz="0" w:space="0" w:color="auto"/>
            <w:right w:val="none" w:sz="0" w:space="0" w:color="auto"/>
          </w:divBdr>
        </w:div>
        <w:div w:id="269163941">
          <w:marLeft w:val="0"/>
          <w:marRight w:val="0"/>
          <w:marTop w:val="0"/>
          <w:marBottom w:val="192"/>
          <w:divBdr>
            <w:top w:val="none" w:sz="0" w:space="0" w:color="auto"/>
            <w:left w:val="none" w:sz="0" w:space="0" w:color="auto"/>
            <w:bottom w:val="none" w:sz="0" w:space="0" w:color="auto"/>
            <w:right w:val="none" w:sz="0" w:space="0" w:color="auto"/>
          </w:divBdr>
        </w:div>
        <w:div w:id="1558125863">
          <w:marLeft w:val="0"/>
          <w:marRight w:val="0"/>
          <w:marTop w:val="0"/>
          <w:marBottom w:val="192"/>
          <w:divBdr>
            <w:top w:val="none" w:sz="0" w:space="0" w:color="auto"/>
            <w:left w:val="none" w:sz="0" w:space="0" w:color="auto"/>
            <w:bottom w:val="none" w:sz="0" w:space="0" w:color="auto"/>
            <w:right w:val="none" w:sz="0" w:space="0" w:color="auto"/>
          </w:divBdr>
        </w:div>
      </w:divsChild>
    </w:div>
    <w:div w:id="1938250171">
      <w:bodyDiv w:val="1"/>
      <w:marLeft w:val="0"/>
      <w:marRight w:val="0"/>
      <w:marTop w:val="0"/>
      <w:marBottom w:val="0"/>
      <w:divBdr>
        <w:top w:val="none" w:sz="0" w:space="0" w:color="auto"/>
        <w:left w:val="none" w:sz="0" w:space="0" w:color="auto"/>
        <w:bottom w:val="none" w:sz="0" w:space="0" w:color="auto"/>
        <w:right w:val="none" w:sz="0" w:space="0" w:color="auto"/>
      </w:divBdr>
      <w:divsChild>
        <w:div w:id="1235779214">
          <w:marLeft w:val="0"/>
          <w:marRight w:val="0"/>
          <w:marTop w:val="96"/>
          <w:marBottom w:val="312"/>
          <w:divBdr>
            <w:top w:val="none" w:sz="0" w:space="0" w:color="auto"/>
            <w:left w:val="none" w:sz="0" w:space="0" w:color="auto"/>
            <w:bottom w:val="none" w:sz="0" w:space="0" w:color="auto"/>
            <w:right w:val="none" w:sz="0" w:space="0" w:color="auto"/>
          </w:divBdr>
        </w:div>
        <w:div w:id="751897439">
          <w:marLeft w:val="0"/>
          <w:marRight w:val="0"/>
          <w:marTop w:val="0"/>
          <w:marBottom w:val="192"/>
          <w:divBdr>
            <w:top w:val="none" w:sz="0" w:space="0" w:color="auto"/>
            <w:left w:val="none" w:sz="0" w:space="0" w:color="auto"/>
            <w:bottom w:val="none" w:sz="0" w:space="0" w:color="auto"/>
            <w:right w:val="none" w:sz="0" w:space="0" w:color="auto"/>
          </w:divBdr>
          <w:divsChild>
            <w:div w:id="1292514568">
              <w:marLeft w:val="624"/>
              <w:marRight w:val="0"/>
              <w:marTop w:val="0"/>
              <w:marBottom w:val="0"/>
              <w:divBdr>
                <w:top w:val="none" w:sz="0" w:space="0" w:color="auto"/>
                <w:left w:val="none" w:sz="0" w:space="0" w:color="auto"/>
                <w:bottom w:val="none" w:sz="0" w:space="0" w:color="auto"/>
                <w:right w:val="none" w:sz="0" w:space="0" w:color="auto"/>
              </w:divBdr>
            </w:div>
            <w:div w:id="452017624">
              <w:marLeft w:val="624"/>
              <w:marRight w:val="0"/>
              <w:marTop w:val="0"/>
              <w:marBottom w:val="0"/>
              <w:divBdr>
                <w:top w:val="none" w:sz="0" w:space="0" w:color="auto"/>
                <w:left w:val="none" w:sz="0" w:space="0" w:color="auto"/>
                <w:bottom w:val="none" w:sz="0" w:space="0" w:color="auto"/>
                <w:right w:val="none" w:sz="0" w:space="0" w:color="auto"/>
              </w:divBdr>
            </w:div>
          </w:divsChild>
        </w:div>
        <w:div w:id="1430852644">
          <w:marLeft w:val="0"/>
          <w:marRight w:val="0"/>
          <w:marTop w:val="0"/>
          <w:marBottom w:val="192"/>
          <w:divBdr>
            <w:top w:val="none" w:sz="0" w:space="0" w:color="auto"/>
            <w:left w:val="none" w:sz="0" w:space="0" w:color="auto"/>
            <w:bottom w:val="none" w:sz="0" w:space="0" w:color="auto"/>
            <w:right w:val="none" w:sz="0" w:space="0" w:color="auto"/>
          </w:divBdr>
        </w:div>
        <w:div w:id="890766923">
          <w:marLeft w:val="0"/>
          <w:marRight w:val="0"/>
          <w:marTop w:val="0"/>
          <w:marBottom w:val="192"/>
          <w:divBdr>
            <w:top w:val="none" w:sz="0" w:space="0" w:color="auto"/>
            <w:left w:val="none" w:sz="0" w:space="0" w:color="auto"/>
            <w:bottom w:val="none" w:sz="0" w:space="0" w:color="auto"/>
            <w:right w:val="none" w:sz="0" w:space="0" w:color="auto"/>
          </w:divBdr>
        </w:div>
        <w:div w:id="1806119049">
          <w:marLeft w:val="0"/>
          <w:marRight w:val="0"/>
          <w:marTop w:val="0"/>
          <w:marBottom w:val="192"/>
          <w:divBdr>
            <w:top w:val="none" w:sz="0" w:space="0" w:color="auto"/>
            <w:left w:val="none" w:sz="0" w:space="0" w:color="auto"/>
            <w:bottom w:val="none" w:sz="0" w:space="0" w:color="auto"/>
            <w:right w:val="none" w:sz="0" w:space="0" w:color="auto"/>
          </w:divBdr>
        </w:div>
        <w:div w:id="541332975">
          <w:marLeft w:val="0"/>
          <w:marRight w:val="0"/>
          <w:marTop w:val="0"/>
          <w:marBottom w:val="192"/>
          <w:divBdr>
            <w:top w:val="none" w:sz="0" w:space="0" w:color="auto"/>
            <w:left w:val="none" w:sz="0" w:space="0" w:color="auto"/>
            <w:bottom w:val="none" w:sz="0" w:space="0" w:color="auto"/>
            <w:right w:val="none" w:sz="0" w:space="0" w:color="auto"/>
          </w:divBdr>
        </w:div>
      </w:divsChild>
    </w:div>
    <w:div w:id="1955863032">
      <w:bodyDiv w:val="1"/>
      <w:marLeft w:val="0"/>
      <w:marRight w:val="0"/>
      <w:marTop w:val="0"/>
      <w:marBottom w:val="0"/>
      <w:divBdr>
        <w:top w:val="none" w:sz="0" w:space="0" w:color="auto"/>
        <w:left w:val="none" w:sz="0" w:space="0" w:color="auto"/>
        <w:bottom w:val="none" w:sz="0" w:space="0" w:color="auto"/>
        <w:right w:val="none" w:sz="0" w:space="0" w:color="auto"/>
      </w:divBdr>
      <w:divsChild>
        <w:div w:id="498039548">
          <w:marLeft w:val="0"/>
          <w:marRight w:val="0"/>
          <w:marTop w:val="312"/>
          <w:marBottom w:val="96"/>
          <w:divBdr>
            <w:top w:val="none" w:sz="0" w:space="0" w:color="auto"/>
            <w:left w:val="none" w:sz="0" w:space="0" w:color="auto"/>
            <w:bottom w:val="none" w:sz="0" w:space="0" w:color="auto"/>
            <w:right w:val="none" w:sz="0" w:space="0" w:color="auto"/>
          </w:divBdr>
        </w:div>
        <w:div w:id="1331299631">
          <w:marLeft w:val="0"/>
          <w:marRight w:val="0"/>
          <w:marTop w:val="0"/>
          <w:marBottom w:val="192"/>
          <w:divBdr>
            <w:top w:val="none" w:sz="0" w:space="0" w:color="auto"/>
            <w:left w:val="none" w:sz="0" w:space="0" w:color="auto"/>
            <w:bottom w:val="none" w:sz="0" w:space="0" w:color="auto"/>
            <w:right w:val="none" w:sz="0" w:space="0" w:color="auto"/>
          </w:divBdr>
        </w:div>
        <w:div w:id="1498425629">
          <w:marLeft w:val="0"/>
          <w:marRight w:val="0"/>
          <w:marTop w:val="0"/>
          <w:marBottom w:val="192"/>
          <w:divBdr>
            <w:top w:val="none" w:sz="0" w:space="0" w:color="auto"/>
            <w:left w:val="none" w:sz="0" w:space="0" w:color="auto"/>
            <w:bottom w:val="none" w:sz="0" w:space="0" w:color="auto"/>
            <w:right w:val="none" w:sz="0" w:space="0" w:color="auto"/>
          </w:divBdr>
        </w:div>
        <w:div w:id="1379815570">
          <w:marLeft w:val="0"/>
          <w:marRight w:val="0"/>
          <w:marTop w:val="0"/>
          <w:marBottom w:val="192"/>
          <w:divBdr>
            <w:top w:val="none" w:sz="0" w:space="0" w:color="auto"/>
            <w:left w:val="none" w:sz="0" w:space="0" w:color="auto"/>
            <w:bottom w:val="none" w:sz="0" w:space="0" w:color="auto"/>
            <w:right w:val="none" w:sz="0" w:space="0" w:color="auto"/>
          </w:divBdr>
        </w:div>
        <w:div w:id="215515028">
          <w:marLeft w:val="0"/>
          <w:marRight w:val="0"/>
          <w:marTop w:val="0"/>
          <w:marBottom w:val="192"/>
          <w:divBdr>
            <w:top w:val="none" w:sz="0" w:space="0" w:color="auto"/>
            <w:left w:val="none" w:sz="0" w:space="0" w:color="auto"/>
            <w:bottom w:val="none" w:sz="0" w:space="0" w:color="auto"/>
            <w:right w:val="none" w:sz="0" w:space="0" w:color="auto"/>
          </w:divBdr>
        </w:div>
      </w:divsChild>
    </w:div>
    <w:div w:id="2040424148">
      <w:bodyDiv w:val="1"/>
      <w:marLeft w:val="0"/>
      <w:marRight w:val="0"/>
      <w:marTop w:val="0"/>
      <w:marBottom w:val="0"/>
      <w:divBdr>
        <w:top w:val="none" w:sz="0" w:space="0" w:color="auto"/>
        <w:left w:val="none" w:sz="0" w:space="0" w:color="auto"/>
        <w:bottom w:val="none" w:sz="0" w:space="0" w:color="auto"/>
        <w:right w:val="none" w:sz="0" w:space="0" w:color="auto"/>
      </w:divBdr>
      <w:divsChild>
        <w:div w:id="2005548589">
          <w:marLeft w:val="0"/>
          <w:marRight w:val="0"/>
          <w:marTop w:val="0"/>
          <w:marBottom w:val="0"/>
          <w:divBdr>
            <w:top w:val="none" w:sz="0" w:space="0" w:color="auto"/>
            <w:left w:val="none" w:sz="0" w:space="0" w:color="auto"/>
            <w:bottom w:val="none" w:sz="0" w:space="0" w:color="auto"/>
            <w:right w:val="none" w:sz="0" w:space="0" w:color="auto"/>
          </w:divBdr>
          <w:divsChild>
            <w:div w:id="1007752013">
              <w:marLeft w:val="0"/>
              <w:marRight w:val="0"/>
              <w:marTop w:val="0"/>
              <w:marBottom w:val="0"/>
              <w:divBdr>
                <w:top w:val="none" w:sz="0" w:space="0" w:color="auto"/>
                <w:left w:val="none" w:sz="0" w:space="0" w:color="auto"/>
                <w:bottom w:val="none" w:sz="0" w:space="0" w:color="auto"/>
                <w:right w:val="none" w:sz="0" w:space="0" w:color="auto"/>
              </w:divBdr>
            </w:div>
          </w:divsChild>
        </w:div>
        <w:div w:id="680550167">
          <w:marLeft w:val="0"/>
          <w:marRight w:val="0"/>
          <w:marTop w:val="0"/>
          <w:marBottom w:val="0"/>
          <w:divBdr>
            <w:top w:val="none" w:sz="0" w:space="0" w:color="auto"/>
            <w:left w:val="none" w:sz="0" w:space="0" w:color="auto"/>
            <w:bottom w:val="none" w:sz="0" w:space="0" w:color="auto"/>
            <w:right w:val="none" w:sz="0" w:space="0" w:color="auto"/>
          </w:divBdr>
          <w:divsChild>
            <w:div w:id="1840584113">
              <w:marLeft w:val="0"/>
              <w:marRight w:val="0"/>
              <w:marTop w:val="0"/>
              <w:marBottom w:val="0"/>
              <w:divBdr>
                <w:top w:val="none" w:sz="0" w:space="0" w:color="auto"/>
                <w:left w:val="none" w:sz="0" w:space="0" w:color="auto"/>
                <w:bottom w:val="none" w:sz="0" w:space="0" w:color="auto"/>
                <w:right w:val="none" w:sz="0" w:space="0" w:color="auto"/>
              </w:divBdr>
            </w:div>
          </w:divsChild>
        </w:div>
        <w:div w:id="639187084">
          <w:marLeft w:val="0"/>
          <w:marRight w:val="0"/>
          <w:marTop w:val="0"/>
          <w:marBottom w:val="0"/>
          <w:divBdr>
            <w:top w:val="none" w:sz="0" w:space="0" w:color="auto"/>
            <w:left w:val="none" w:sz="0" w:space="0" w:color="auto"/>
            <w:bottom w:val="none" w:sz="0" w:space="0" w:color="auto"/>
            <w:right w:val="none" w:sz="0" w:space="0" w:color="auto"/>
          </w:divBdr>
          <w:divsChild>
            <w:div w:id="4982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99489">
      <w:bodyDiv w:val="1"/>
      <w:marLeft w:val="0"/>
      <w:marRight w:val="0"/>
      <w:marTop w:val="0"/>
      <w:marBottom w:val="0"/>
      <w:divBdr>
        <w:top w:val="none" w:sz="0" w:space="0" w:color="auto"/>
        <w:left w:val="none" w:sz="0" w:space="0" w:color="auto"/>
        <w:bottom w:val="none" w:sz="0" w:space="0" w:color="auto"/>
        <w:right w:val="none" w:sz="0" w:space="0" w:color="auto"/>
      </w:divBdr>
      <w:divsChild>
        <w:div w:id="402529999">
          <w:marLeft w:val="0"/>
          <w:marRight w:val="0"/>
          <w:marTop w:val="0"/>
          <w:marBottom w:val="0"/>
          <w:divBdr>
            <w:top w:val="none" w:sz="0" w:space="0" w:color="auto"/>
            <w:left w:val="none" w:sz="0" w:space="0" w:color="auto"/>
            <w:bottom w:val="none" w:sz="0" w:space="0" w:color="auto"/>
            <w:right w:val="none" w:sz="0" w:space="0" w:color="auto"/>
          </w:divBdr>
          <w:divsChild>
            <w:div w:id="869729975">
              <w:marLeft w:val="0"/>
              <w:marRight w:val="0"/>
              <w:marTop w:val="0"/>
              <w:marBottom w:val="0"/>
              <w:divBdr>
                <w:top w:val="none" w:sz="0" w:space="0" w:color="auto"/>
                <w:left w:val="none" w:sz="0" w:space="0" w:color="auto"/>
                <w:bottom w:val="none" w:sz="0" w:space="0" w:color="auto"/>
                <w:right w:val="none" w:sz="0" w:space="0" w:color="auto"/>
              </w:divBdr>
              <w:divsChild>
                <w:div w:id="1991712278">
                  <w:marLeft w:val="0"/>
                  <w:marRight w:val="0"/>
                  <w:marTop w:val="0"/>
                  <w:marBottom w:val="0"/>
                  <w:divBdr>
                    <w:top w:val="none" w:sz="0" w:space="0" w:color="auto"/>
                    <w:left w:val="none" w:sz="0" w:space="0" w:color="auto"/>
                    <w:bottom w:val="none" w:sz="0" w:space="0" w:color="auto"/>
                    <w:right w:val="none" w:sz="0" w:space="0" w:color="auto"/>
                  </w:divBdr>
                  <w:divsChild>
                    <w:div w:id="253712396">
                      <w:marLeft w:val="0"/>
                      <w:marRight w:val="0"/>
                      <w:marTop w:val="226"/>
                      <w:marBottom w:val="113"/>
                      <w:divBdr>
                        <w:top w:val="none" w:sz="0" w:space="0" w:color="auto"/>
                        <w:left w:val="none" w:sz="0" w:space="0" w:color="auto"/>
                        <w:bottom w:val="none" w:sz="0" w:space="0" w:color="auto"/>
                        <w:right w:val="none" w:sz="0" w:space="0" w:color="auto"/>
                      </w:divBdr>
                    </w:div>
                  </w:divsChild>
                </w:div>
              </w:divsChild>
            </w:div>
          </w:divsChild>
        </w:div>
        <w:div w:id="515845606">
          <w:marLeft w:val="0"/>
          <w:marRight w:val="0"/>
          <w:marTop w:val="0"/>
          <w:marBottom w:val="0"/>
          <w:divBdr>
            <w:top w:val="none" w:sz="0" w:space="0" w:color="auto"/>
            <w:left w:val="none" w:sz="0" w:space="0" w:color="auto"/>
            <w:bottom w:val="none" w:sz="0" w:space="0" w:color="auto"/>
            <w:right w:val="none" w:sz="0" w:space="0" w:color="auto"/>
          </w:divBdr>
          <w:divsChild>
            <w:div w:id="1160343160">
              <w:marLeft w:val="0"/>
              <w:marRight w:val="0"/>
              <w:marTop w:val="0"/>
              <w:marBottom w:val="0"/>
              <w:divBdr>
                <w:top w:val="none" w:sz="0" w:space="0" w:color="auto"/>
                <w:left w:val="none" w:sz="0" w:space="0" w:color="auto"/>
                <w:bottom w:val="none" w:sz="0" w:space="0" w:color="auto"/>
                <w:right w:val="none" w:sz="0" w:space="0" w:color="auto"/>
              </w:divBdr>
              <w:divsChild>
                <w:div w:id="1202396894">
                  <w:marLeft w:val="0"/>
                  <w:marRight w:val="0"/>
                  <w:marTop w:val="0"/>
                  <w:marBottom w:val="0"/>
                  <w:divBdr>
                    <w:top w:val="none" w:sz="0" w:space="0" w:color="auto"/>
                    <w:left w:val="none" w:sz="0" w:space="0" w:color="auto"/>
                    <w:bottom w:val="none" w:sz="0" w:space="0" w:color="auto"/>
                    <w:right w:val="none" w:sz="0" w:space="0" w:color="auto"/>
                  </w:divBdr>
                  <w:divsChild>
                    <w:div w:id="2083599519">
                      <w:marLeft w:val="0"/>
                      <w:marRight w:val="0"/>
                      <w:marTop w:val="0"/>
                      <w:marBottom w:val="58"/>
                      <w:divBdr>
                        <w:top w:val="none" w:sz="0" w:space="0" w:color="auto"/>
                        <w:left w:val="none" w:sz="0" w:space="0" w:color="auto"/>
                        <w:bottom w:val="none" w:sz="0" w:space="0" w:color="auto"/>
                        <w:right w:val="none" w:sz="0" w:space="0" w:color="auto"/>
                      </w:divBdr>
                    </w:div>
                    <w:div w:id="1152327083">
                      <w:marLeft w:val="6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 w:id="274098743">
          <w:marLeft w:val="0"/>
          <w:marRight w:val="0"/>
          <w:marTop w:val="0"/>
          <w:marBottom w:val="0"/>
          <w:divBdr>
            <w:top w:val="none" w:sz="0" w:space="0" w:color="auto"/>
            <w:left w:val="none" w:sz="0" w:space="0" w:color="auto"/>
            <w:bottom w:val="none" w:sz="0" w:space="0" w:color="auto"/>
            <w:right w:val="none" w:sz="0" w:space="0" w:color="auto"/>
          </w:divBdr>
          <w:divsChild>
            <w:div w:id="1200629920">
              <w:marLeft w:val="0"/>
              <w:marRight w:val="0"/>
              <w:marTop w:val="0"/>
              <w:marBottom w:val="0"/>
              <w:divBdr>
                <w:top w:val="none" w:sz="0" w:space="0" w:color="auto"/>
                <w:left w:val="none" w:sz="0" w:space="0" w:color="auto"/>
                <w:bottom w:val="none" w:sz="0" w:space="0" w:color="auto"/>
                <w:right w:val="none" w:sz="0" w:space="0" w:color="auto"/>
              </w:divBdr>
              <w:divsChild>
                <w:div w:id="1412970759">
                  <w:marLeft w:val="0"/>
                  <w:marRight w:val="0"/>
                  <w:marTop w:val="0"/>
                  <w:marBottom w:val="0"/>
                  <w:divBdr>
                    <w:top w:val="none" w:sz="0" w:space="0" w:color="auto"/>
                    <w:left w:val="none" w:sz="0" w:space="0" w:color="auto"/>
                    <w:bottom w:val="none" w:sz="0" w:space="0" w:color="auto"/>
                    <w:right w:val="none" w:sz="0" w:space="0" w:color="auto"/>
                  </w:divBdr>
                  <w:divsChild>
                    <w:div w:id="1480458797">
                      <w:marLeft w:val="0"/>
                      <w:marRight w:val="0"/>
                      <w:marTop w:val="0"/>
                      <w:marBottom w:val="58"/>
                      <w:divBdr>
                        <w:top w:val="none" w:sz="0" w:space="0" w:color="auto"/>
                        <w:left w:val="none" w:sz="0" w:space="0" w:color="auto"/>
                        <w:bottom w:val="none" w:sz="0" w:space="0" w:color="auto"/>
                        <w:right w:val="none" w:sz="0" w:space="0" w:color="auto"/>
                      </w:divBdr>
                    </w:div>
                    <w:div w:id="67968428">
                      <w:marLeft w:val="6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 w:id="2091078287">
      <w:bodyDiv w:val="1"/>
      <w:marLeft w:val="0"/>
      <w:marRight w:val="0"/>
      <w:marTop w:val="0"/>
      <w:marBottom w:val="0"/>
      <w:divBdr>
        <w:top w:val="none" w:sz="0" w:space="0" w:color="auto"/>
        <w:left w:val="none" w:sz="0" w:space="0" w:color="auto"/>
        <w:bottom w:val="none" w:sz="0" w:space="0" w:color="auto"/>
        <w:right w:val="none" w:sz="0" w:space="0" w:color="auto"/>
      </w:divBdr>
      <w:divsChild>
        <w:div w:id="1995136097">
          <w:marLeft w:val="0"/>
          <w:marRight w:val="0"/>
          <w:marTop w:val="312"/>
          <w:marBottom w:val="96"/>
          <w:divBdr>
            <w:top w:val="none" w:sz="0" w:space="0" w:color="auto"/>
            <w:left w:val="none" w:sz="0" w:space="0" w:color="auto"/>
            <w:bottom w:val="none" w:sz="0" w:space="0" w:color="auto"/>
            <w:right w:val="none" w:sz="0" w:space="0" w:color="auto"/>
          </w:divBdr>
        </w:div>
        <w:div w:id="341053359">
          <w:marLeft w:val="0"/>
          <w:marRight w:val="0"/>
          <w:marTop w:val="96"/>
          <w:marBottom w:val="312"/>
          <w:divBdr>
            <w:top w:val="none" w:sz="0" w:space="0" w:color="auto"/>
            <w:left w:val="none" w:sz="0" w:space="0" w:color="auto"/>
            <w:bottom w:val="none" w:sz="0" w:space="0" w:color="auto"/>
            <w:right w:val="none" w:sz="0" w:space="0" w:color="auto"/>
          </w:divBdr>
        </w:div>
        <w:div w:id="1046368287">
          <w:marLeft w:val="0"/>
          <w:marRight w:val="0"/>
          <w:marTop w:val="0"/>
          <w:marBottom w:val="192"/>
          <w:divBdr>
            <w:top w:val="none" w:sz="0" w:space="0" w:color="auto"/>
            <w:left w:val="none" w:sz="0" w:space="0" w:color="auto"/>
            <w:bottom w:val="none" w:sz="0" w:space="0" w:color="auto"/>
            <w:right w:val="none" w:sz="0" w:space="0" w:color="auto"/>
          </w:divBdr>
        </w:div>
        <w:div w:id="1251162623">
          <w:marLeft w:val="0"/>
          <w:marRight w:val="0"/>
          <w:marTop w:val="0"/>
          <w:marBottom w:val="192"/>
          <w:divBdr>
            <w:top w:val="none" w:sz="0" w:space="0" w:color="auto"/>
            <w:left w:val="none" w:sz="0" w:space="0" w:color="auto"/>
            <w:bottom w:val="none" w:sz="0" w:space="0" w:color="auto"/>
            <w:right w:val="none" w:sz="0" w:space="0" w:color="auto"/>
          </w:divBdr>
        </w:div>
        <w:div w:id="235164110">
          <w:marLeft w:val="0"/>
          <w:marRight w:val="0"/>
          <w:marTop w:val="0"/>
          <w:marBottom w:val="192"/>
          <w:divBdr>
            <w:top w:val="none" w:sz="0" w:space="0" w:color="auto"/>
            <w:left w:val="none" w:sz="0" w:space="0" w:color="auto"/>
            <w:bottom w:val="none" w:sz="0" w:space="0" w:color="auto"/>
            <w:right w:val="none" w:sz="0" w:space="0" w:color="auto"/>
          </w:divBdr>
        </w:div>
      </w:divsChild>
    </w:div>
    <w:div w:id="2110008313">
      <w:bodyDiv w:val="1"/>
      <w:marLeft w:val="0"/>
      <w:marRight w:val="0"/>
      <w:marTop w:val="0"/>
      <w:marBottom w:val="0"/>
      <w:divBdr>
        <w:top w:val="none" w:sz="0" w:space="0" w:color="auto"/>
        <w:left w:val="none" w:sz="0" w:space="0" w:color="auto"/>
        <w:bottom w:val="none" w:sz="0" w:space="0" w:color="auto"/>
        <w:right w:val="none" w:sz="0" w:space="0" w:color="auto"/>
      </w:divBdr>
      <w:divsChild>
        <w:div w:id="606625274">
          <w:marLeft w:val="0"/>
          <w:marRight w:val="0"/>
          <w:marTop w:val="0"/>
          <w:marBottom w:val="192"/>
          <w:divBdr>
            <w:top w:val="none" w:sz="0" w:space="0" w:color="auto"/>
            <w:left w:val="none" w:sz="0" w:space="0" w:color="auto"/>
            <w:bottom w:val="none" w:sz="0" w:space="0" w:color="auto"/>
            <w:right w:val="none" w:sz="0" w:space="0" w:color="auto"/>
          </w:divBdr>
        </w:div>
        <w:div w:id="1633365636">
          <w:marLeft w:val="0"/>
          <w:marRight w:val="0"/>
          <w:marTop w:val="0"/>
          <w:marBottom w:val="192"/>
          <w:divBdr>
            <w:top w:val="none" w:sz="0" w:space="0" w:color="auto"/>
            <w:left w:val="none" w:sz="0" w:space="0" w:color="auto"/>
            <w:bottom w:val="none" w:sz="0" w:space="0" w:color="auto"/>
            <w:right w:val="none" w:sz="0" w:space="0" w:color="auto"/>
          </w:divBdr>
        </w:div>
        <w:div w:id="192883628">
          <w:marLeft w:val="0"/>
          <w:marRight w:val="0"/>
          <w:marTop w:val="0"/>
          <w:marBottom w:val="192"/>
          <w:divBdr>
            <w:top w:val="none" w:sz="0" w:space="0" w:color="auto"/>
            <w:left w:val="none" w:sz="0" w:space="0" w:color="auto"/>
            <w:bottom w:val="none" w:sz="0" w:space="0" w:color="auto"/>
            <w:right w:val="none" w:sz="0" w:space="0" w:color="auto"/>
          </w:divBdr>
        </w:div>
      </w:divsChild>
    </w:div>
    <w:div w:id="2110928710">
      <w:bodyDiv w:val="1"/>
      <w:marLeft w:val="0"/>
      <w:marRight w:val="0"/>
      <w:marTop w:val="0"/>
      <w:marBottom w:val="0"/>
      <w:divBdr>
        <w:top w:val="none" w:sz="0" w:space="0" w:color="auto"/>
        <w:left w:val="none" w:sz="0" w:space="0" w:color="auto"/>
        <w:bottom w:val="none" w:sz="0" w:space="0" w:color="auto"/>
        <w:right w:val="none" w:sz="0" w:space="0" w:color="auto"/>
      </w:divBdr>
      <w:divsChild>
        <w:div w:id="1613979363">
          <w:marLeft w:val="0"/>
          <w:marRight w:val="0"/>
          <w:marTop w:val="312"/>
          <w:marBottom w:val="96"/>
          <w:divBdr>
            <w:top w:val="none" w:sz="0" w:space="0" w:color="auto"/>
            <w:left w:val="none" w:sz="0" w:space="0" w:color="auto"/>
            <w:bottom w:val="none" w:sz="0" w:space="0" w:color="auto"/>
            <w:right w:val="none" w:sz="0" w:space="0" w:color="auto"/>
          </w:divBdr>
        </w:div>
        <w:div w:id="1491872669">
          <w:marLeft w:val="0"/>
          <w:marRight w:val="0"/>
          <w:marTop w:val="0"/>
          <w:marBottom w:val="192"/>
          <w:divBdr>
            <w:top w:val="none" w:sz="0" w:space="0" w:color="auto"/>
            <w:left w:val="none" w:sz="0" w:space="0" w:color="auto"/>
            <w:bottom w:val="none" w:sz="0" w:space="0" w:color="auto"/>
            <w:right w:val="none" w:sz="0" w:space="0" w:color="auto"/>
          </w:divBdr>
        </w:div>
        <w:div w:id="993070471">
          <w:marLeft w:val="0"/>
          <w:marRight w:val="0"/>
          <w:marTop w:val="0"/>
          <w:marBottom w:val="192"/>
          <w:divBdr>
            <w:top w:val="none" w:sz="0" w:space="0" w:color="auto"/>
            <w:left w:val="none" w:sz="0" w:space="0" w:color="auto"/>
            <w:bottom w:val="none" w:sz="0" w:space="0" w:color="auto"/>
            <w:right w:val="none" w:sz="0" w:space="0" w:color="auto"/>
          </w:divBdr>
        </w:div>
      </w:divsChild>
    </w:div>
    <w:div w:id="2117022773">
      <w:bodyDiv w:val="1"/>
      <w:marLeft w:val="0"/>
      <w:marRight w:val="0"/>
      <w:marTop w:val="0"/>
      <w:marBottom w:val="0"/>
      <w:divBdr>
        <w:top w:val="none" w:sz="0" w:space="0" w:color="auto"/>
        <w:left w:val="none" w:sz="0" w:space="0" w:color="auto"/>
        <w:bottom w:val="none" w:sz="0" w:space="0" w:color="auto"/>
        <w:right w:val="none" w:sz="0" w:space="0" w:color="auto"/>
      </w:divBdr>
      <w:divsChild>
        <w:div w:id="2014525230">
          <w:marLeft w:val="0"/>
          <w:marRight w:val="0"/>
          <w:marTop w:val="312"/>
          <w:marBottom w:val="96"/>
          <w:divBdr>
            <w:top w:val="none" w:sz="0" w:space="0" w:color="auto"/>
            <w:left w:val="none" w:sz="0" w:space="0" w:color="auto"/>
            <w:bottom w:val="none" w:sz="0" w:space="0" w:color="auto"/>
            <w:right w:val="none" w:sz="0" w:space="0" w:color="auto"/>
          </w:divBdr>
        </w:div>
        <w:div w:id="2072189505">
          <w:marLeft w:val="0"/>
          <w:marRight w:val="0"/>
          <w:marTop w:val="0"/>
          <w:marBottom w:val="192"/>
          <w:divBdr>
            <w:top w:val="none" w:sz="0" w:space="0" w:color="auto"/>
            <w:left w:val="none" w:sz="0" w:space="0" w:color="auto"/>
            <w:bottom w:val="none" w:sz="0" w:space="0" w:color="auto"/>
            <w:right w:val="none" w:sz="0" w:space="0" w:color="auto"/>
          </w:divBdr>
        </w:div>
        <w:div w:id="1332828358">
          <w:marLeft w:val="0"/>
          <w:marRight w:val="0"/>
          <w:marTop w:val="0"/>
          <w:marBottom w:val="192"/>
          <w:divBdr>
            <w:top w:val="none" w:sz="0" w:space="0" w:color="auto"/>
            <w:left w:val="none" w:sz="0" w:space="0" w:color="auto"/>
            <w:bottom w:val="none" w:sz="0" w:space="0" w:color="auto"/>
            <w:right w:val="none" w:sz="0" w:space="0" w:color="auto"/>
          </w:divBdr>
        </w:div>
        <w:div w:id="1040934618">
          <w:marLeft w:val="0"/>
          <w:marRight w:val="0"/>
          <w:marTop w:val="0"/>
          <w:marBottom w:val="192"/>
          <w:divBdr>
            <w:top w:val="none" w:sz="0" w:space="0" w:color="auto"/>
            <w:left w:val="none" w:sz="0" w:space="0" w:color="auto"/>
            <w:bottom w:val="none" w:sz="0" w:space="0" w:color="auto"/>
            <w:right w:val="none" w:sz="0" w:space="0" w:color="auto"/>
          </w:divBdr>
        </w:div>
        <w:div w:id="1845048697">
          <w:marLeft w:val="0"/>
          <w:marRight w:val="0"/>
          <w:marTop w:val="0"/>
          <w:marBottom w:val="192"/>
          <w:divBdr>
            <w:top w:val="none" w:sz="0" w:space="0" w:color="auto"/>
            <w:left w:val="none" w:sz="0" w:space="0" w:color="auto"/>
            <w:bottom w:val="none" w:sz="0" w:space="0" w:color="auto"/>
            <w:right w:val="none" w:sz="0" w:space="0" w:color="auto"/>
          </w:divBdr>
        </w:div>
      </w:divsChild>
    </w:div>
    <w:div w:id="21270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cz/products/lawText/1/30139/1/ASPI%253A/141/1961%20Sb.%2523137" TargetMode="External"/><Relationship Id="rId18" Type="http://schemas.openxmlformats.org/officeDocument/2006/relationships/hyperlink" Target="https://www.aspi.cz/products/lawText/1/30139/1/EU%253A/32017R1939%2523" TargetMode="External"/><Relationship Id="rId26" Type="http://schemas.openxmlformats.org/officeDocument/2006/relationships/hyperlink" Target="https://www.aspi.cz/products/lawText/1/30139/1/ASPI%253A/141/1961%20Sb.%2523158a" TargetMode="External"/><Relationship Id="rId39" Type="http://schemas.openxmlformats.org/officeDocument/2006/relationships/hyperlink" Target="https://www.aspi.cz/products/lawText/1/30139/1/ASPI%253A/141/1961%20Sb.%2523102.2" TargetMode="External"/><Relationship Id="rId21" Type="http://schemas.openxmlformats.org/officeDocument/2006/relationships/hyperlink" Target="https://www.aspi.cz/products/lawText/1/30139/1/ASPI%253A/141/1961%20Sb.%252376" TargetMode="External"/><Relationship Id="rId34" Type="http://schemas.openxmlformats.org/officeDocument/2006/relationships/hyperlink" Target="https://www.aspi.cz/products/lawText/1/30139/1/ASPI%253A/141/1961%20Sb.%2523215.2" TargetMode="External"/><Relationship Id="rId42" Type="http://schemas.openxmlformats.org/officeDocument/2006/relationships/hyperlink" Target="https://www.aspi.cz/products/lawText/1/30139/1/ASPI%253A/141/1961%20Sb.%2523166.1" TargetMode="External"/><Relationship Id="rId47" Type="http://schemas.openxmlformats.org/officeDocument/2006/relationships/hyperlink" Target="https://www.aspi.cz/products/lawText/1/30139/1/ASPI%253A/141/1961%20Sb.%2523158a" TargetMode="External"/><Relationship Id="rId50" Type="http://schemas.openxmlformats.org/officeDocument/2006/relationships/hyperlink" Target="https://www.aspi.cz/products/lawText/1/30139/1/ASPI%253A/141/1961%20Sb.%2523158.3,158.5" TargetMode="External"/><Relationship Id="rId55" Type="http://schemas.openxmlformats.org/officeDocument/2006/relationships/hyperlink" Target="https://www.aspi.cz/products/lawText/1/30139/1/ASPI%253A/141/1961%20Sb.%2523255" TargetMode="External"/><Relationship Id="rId63" Type="http://schemas.openxmlformats.org/officeDocument/2006/relationships/theme" Target="theme/theme1.xml"/><Relationship Id="rId7" Type="http://schemas.openxmlformats.org/officeDocument/2006/relationships/hyperlink" Target="https://www.aspi.cz/products/lawText/1/30139/1/ASPI%253A/141/1961%20Sb.%252365" TargetMode="External"/><Relationship Id="rId2" Type="http://schemas.openxmlformats.org/officeDocument/2006/relationships/styles" Target="styles.xml"/><Relationship Id="rId16" Type="http://schemas.openxmlformats.org/officeDocument/2006/relationships/hyperlink" Target="https://www.aspi.cz/products/lawText/1/30139/1/EU%253A/32017R1939%2523%25C8l/.25.2" TargetMode="External"/><Relationship Id="rId29" Type="http://schemas.openxmlformats.org/officeDocument/2006/relationships/hyperlink" Target="https://www.aspi.cz/products/lawText/1/30139/1/ASPI%253A/141/1961%20Sb.%2523211.2.a" TargetMode="External"/><Relationship Id="rId11" Type="http://schemas.openxmlformats.org/officeDocument/2006/relationships/hyperlink" Target="https://www.aspi.cz/products/lawText/1/30139/1/ASPI%253A/141/1961%20Sb.%252355.1" TargetMode="External"/><Relationship Id="rId24" Type="http://schemas.openxmlformats.org/officeDocument/2006/relationships/hyperlink" Target="https://www.aspi.cz/products/lawText/1/30139/1/ASPI%253A/141/1961%20Sb.%2523100.2" TargetMode="External"/><Relationship Id="rId32" Type="http://schemas.openxmlformats.org/officeDocument/2006/relationships/hyperlink" Target="https://www.aspi.cz/products/lawText/1/30139/1/ASPI%253A/141/1961%20Sb.%2523212" TargetMode="External"/><Relationship Id="rId37" Type="http://schemas.openxmlformats.org/officeDocument/2006/relationships/hyperlink" Target="https://www.aspi.cz/products/lawText/1/30139/1/ASPI%253A/141/1961%20Sb.%252355.2" TargetMode="External"/><Relationship Id="rId40" Type="http://schemas.openxmlformats.org/officeDocument/2006/relationships/hyperlink" Target="https://www.aspi.cz/products/lawText/1/30139/1/ASPI%253A/141/1961%20Sb.%2523111a" TargetMode="External"/><Relationship Id="rId45" Type="http://schemas.openxmlformats.org/officeDocument/2006/relationships/hyperlink" Target="https://www.aspi.cz/products/lawText/1/30139/1/ASPI%253A/141/1961%20Sb.%2523211" TargetMode="External"/><Relationship Id="rId53" Type="http://schemas.openxmlformats.org/officeDocument/2006/relationships/hyperlink" Target="https://www.aspi.cz/products/lawText/1/30139/1/ASPI%253A/141/1961%20Sb.%2523225.2" TargetMode="External"/><Relationship Id="rId58" Type="http://schemas.openxmlformats.org/officeDocument/2006/relationships/hyperlink" Target="https://www.aspi.cz/products/lawText/1/30139/1/ASPI%253A/141/1961%20Sb.%252373d"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www.aspi.cz/products/lawText/1/30139/1/ASPI%253A/141/1961%20Sb.%2523114" TargetMode="External"/><Relationship Id="rId14" Type="http://schemas.openxmlformats.org/officeDocument/2006/relationships/hyperlink" Target="https://www.aspi.cz/products/lawText/1/30139/1/ASPI%253A/141/1961%20Sb.%2523142.2" TargetMode="External"/><Relationship Id="rId22" Type="http://schemas.openxmlformats.org/officeDocument/2006/relationships/hyperlink" Target="https://www.aspi.cz/products/lawText/1/30139/1/ASPI%253A/141/1961%20Sb.%252378-81" TargetMode="External"/><Relationship Id="rId27" Type="http://schemas.openxmlformats.org/officeDocument/2006/relationships/hyperlink" Target="https://www.aspi.cz/products/lawText/1/30139/1/ASPI%253A/141/1961%20Sb.%2523164.4" TargetMode="External"/><Relationship Id="rId30" Type="http://schemas.openxmlformats.org/officeDocument/2006/relationships/hyperlink" Target="https://www.aspi.cz/products/lawText/1/30139/1/ASPI%253A/141/1961%20Sb.%2523211.3.b" TargetMode="External"/><Relationship Id="rId35" Type="http://schemas.openxmlformats.org/officeDocument/2006/relationships/hyperlink" Target="https://www.aspi.cz/products/lawText/1/30139/1/ASPI%253A/141/1961%20Sb.%2523215.2" TargetMode="External"/><Relationship Id="rId43" Type="http://schemas.openxmlformats.org/officeDocument/2006/relationships/hyperlink" Target="https://www.aspi.cz/products/lawText/1/30139/1/ASPI%253A/141/1961%20Sb.%252366" TargetMode="External"/><Relationship Id="rId48" Type="http://schemas.openxmlformats.org/officeDocument/2006/relationships/hyperlink" Target="https://www.aspi.cz/products/lawText/1/30139/1/ASPI%253A/141/1961%20Sb.%2523100" TargetMode="External"/><Relationship Id="rId56" Type="http://schemas.openxmlformats.org/officeDocument/2006/relationships/hyperlink" Target="https://www.aspi.cz/products/lawText/1/30139/1/ASPI%253A/141/1961%20Sb.%2523257" TargetMode="External"/><Relationship Id="rId8" Type="http://schemas.openxmlformats.org/officeDocument/2006/relationships/hyperlink" Target="https://www.aspi.cz/products/lawText/1/30139/1/ASPI%253A/141/1961%20Sb.%252333.1" TargetMode="External"/><Relationship Id="rId51" Type="http://schemas.openxmlformats.org/officeDocument/2006/relationships/hyperlink" Target="https://www.aspi.cz/products/lawText/1/30139/1/ASPI%253A/141/1961%20Sb.%252311a" TargetMode="External"/><Relationship Id="rId3" Type="http://schemas.openxmlformats.org/officeDocument/2006/relationships/settings" Target="settings.xml"/><Relationship Id="rId12" Type="http://schemas.openxmlformats.org/officeDocument/2006/relationships/hyperlink" Target="https://www.aspi.cz/products/lawText/1/30139/1/ASPI%253A/141/1961%20Sb.%252358" TargetMode="External"/><Relationship Id="rId17" Type="http://schemas.openxmlformats.org/officeDocument/2006/relationships/hyperlink" Target="https://www.aspi.cz/products/lawText/1/30139/1/EU%253A/32017R1939%2523%25C8l/.25.3" TargetMode="External"/><Relationship Id="rId25" Type="http://schemas.openxmlformats.org/officeDocument/2006/relationships/hyperlink" Target="https://www.aspi.cz/products/lawText/1/30139/1/ASPI%253A/141/1961%20Sb.%252355.2" TargetMode="External"/><Relationship Id="rId33" Type="http://schemas.openxmlformats.org/officeDocument/2006/relationships/hyperlink" Target="https://www.aspi.cz/products/lawText/1/30139/1/ASPI%253A/141/1961%20Sb.%2523203" TargetMode="External"/><Relationship Id="rId38" Type="http://schemas.openxmlformats.org/officeDocument/2006/relationships/hyperlink" Target="https://www.aspi.cz/products/lawText/1/30139/1/ASPI%253A/141/1961%20Sb.%2523211" TargetMode="External"/><Relationship Id="rId46" Type="http://schemas.openxmlformats.org/officeDocument/2006/relationships/hyperlink" Target="https://www.aspi.cz/products/lawText/1/30139/1/ASPI%253A/141/1961%20Sb.%252336" TargetMode="External"/><Relationship Id="rId59" Type="http://schemas.openxmlformats.org/officeDocument/2006/relationships/hyperlink" Target="https://www.aspi.cz/products/lawText/1/30139/1/ASPI%253A/141/1961%20Sb.%252373g" TargetMode="External"/><Relationship Id="rId20" Type="http://schemas.openxmlformats.org/officeDocument/2006/relationships/hyperlink" Target="https://www.aspi.cz/products/lawText/1/30139/1/ASPI%253A/141/1961%20Sb.%2523114" TargetMode="External"/><Relationship Id="rId41" Type="http://schemas.openxmlformats.org/officeDocument/2006/relationships/hyperlink" Target="https://www.aspi.cz/products/lawText/1/30139/1/ASPI%253A/141/1961%20Sb.%2523160" TargetMode="External"/><Relationship Id="rId54" Type="http://schemas.openxmlformats.org/officeDocument/2006/relationships/hyperlink" Target="https://www.aspi.cz/products/lawText/1/30139/1/ASPI%253A/141/1961%20Sb.%2523253"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spi.cz/products/lawText/1/30139/1/EU%253A/32017R1939%2523%25C8l/.22" TargetMode="External"/><Relationship Id="rId23" Type="http://schemas.openxmlformats.org/officeDocument/2006/relationships/hyperlink" Target="https://www.aspi.cz/products/lawText/1/30139/1/ASPI%253A/141/1961%20Sb.%252366" TargetMode="External"/><Relationship Id="rId28" Type="http://schemas.openxmlformats.org/officeDocument/2006/relationships/hyperlink" Target="https://www.aspi.cz/products/lawText/1/30139/1/ASPI%253A/141/1961%20Sb.%2523211.1" TargetMode="External"/><Relationship Id="rId36" Type="http://schemas.openxmlformats.org/officeDocument/2006/relationships/hyperlink" Target="https://www.aspi.cz/products/lawText/1/30139/1/ASPI%253A/141/1961%20Sb.%252355.2" TargetMode="External"/><Relationship Id="rId49" Type="http://schemas.openxmlformats.org/officeDocument/2006/relationships/hyperlink" Target="https://www.aspi.cz/products/lawText/1/30139/1/ASPI%253A/141/1961%20Sb.%2523106" TargetMode="External"/><Relationship Id="rId57" Type="http://schemas.openxmlformats.org/officeDocument/2006/relationships/hyperlink" Target="https://www.aspi.cz/products/lawText/1/30139/1/ASPI%253A/141/1961%20Sb.%2523258.1" TargetMode="External"/><Relationship Id="rId10" Type="http://schemas.openxmlformats.org/officeDocument/2006/relationships/hyperlink" Target="https://www.aspi.cz/products/lawText/1/30139/1/ASPI%253A/141/1961%20Sb.%252312.1" TargetMode="External"/><Relationship Id="rId31" Type="http://schemas.openxmlformats.org/officeDocument/2006/relationships/hyperlink" Target="https://www.aspi.cz/products/lawText/1/30139/1/ASPI%253A/141/1961%20Sb.%2523211.3.c" TargetMode="External"/><Relationship Id="rId44" Type="http://schemas.openxmlformats.org/officeDocument/2006/relationships/hyperlink" Target="https://www.aspi.cz/products/lawText/1/30139/1/ASPI%253A/141/1961%20Sb.%252390" TargetMode="External"/><Relationship Id="rId52" Type="http://schemas.openxmlformats.org/officeDocument/2006/relationships/hyperlink" Target="https://www.aspi.cz/products/lawText/1/30139/1/ASPI%253A/141/1961%20Sb.%2523211.1,211.5,211.7" TargetMode="External"/><Relationship Id="rId60" Type="http://schemas.openxmlformats.org/officeDocument/2006/relationships/hyperlink" Target="https://www.aspi.cz/products/lawText/1/30139/1/ASPI%253A/141/1961%20Sb.%2523245.2" TargetMode="External"/><Relationship Id="rId4" Type="http://schemas.openxmlformats.org/officeDocument/2006/relationships/webSettings" Target="webSettings.xml"/><Relationship Id="rId9" Type="http://schemas.openxmlformats.org/officeDocument/2006/relationships/hyperlink" Target="https://www.aspi.cz/products/lawText/1/30139/1/ASPI%253A/141/1961%20Sb.%252355"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31</Pages>
  <Words>14991</Words>
  <Characters>88453</Characters>
  <Application>Microsoft Office Word</Application>
  <DocSecurity>0</DocSecurity>
  <Lines>737</Lines>
  <Paragraphs>206</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103238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Trešlová Lenka Mgr.</dc:creator>
  <cp:keywords/>
  <dc:description/>
  <cp:lastModifiedBy>Trešlová Lenka Mgr.</cp:lastModifiedBy>
  <cp:revision>133</cp:revision>
  <dcterms:created xsi:type="dcterms:W3CDTF">2026-04-20T06:25:00Z</dcterms:created>
  <dcterms:modified xsi:type="dcterms:W3CDTF">2026-04-27T07:44:00Z</dcterms:modified>
</cp:coreProperties>
</file>