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1" w:type="dxa"/>
        <w:tblInd w:w="-712" w:type="dxa"/>
        <w:shd w:val="clear" w:color="auto" w:fill="F7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8646"/>
      </w:tblGrid>
      <w:tr w:rsidR="00AF25C5" w:rsidRPr="002210C1" w14:paraId="5668890A" w14:textId="77777777" w:rsidTr="002210C1">
        <w:trPr>
          <w:tblHeader/>
        </w:trPr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2F2F2"/>
            <w:tcMar>
              <w:top w:w="173" w:type="dxa"/>
              <w:left w:w="120" w:type="dxa"/>
              <w:bottom w:w="173" w:type="dxa"/>
              <w:right w:w="120" w:type="dxa"/>
            </w:tcMar>
            <w:hideMark/>
          </w:tcPr>
          <w:p w14:paraId="5B0EBAB5" w14:textId="77777777" w:rsidR="00AF25C5" w:rsidRPr="002210C1" w:rsidRDefault="00AF25C5" w:rsidP="002210C1">
            <w:pPr>
              <w:spacing w:after="0" w:line="200" w:lineRule="atLeast"/>
              <w:contextualSpacing/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  <w:t>OZNAČENÍ A UVOZOVACÍ</w:t>
            </w:r>
          </w:p>
          <w:p w14:paraId="5F1DA046" w14:textId="77777777" w:rsidR="00AF25C5" w:rsidRPr="002210C1" w:rsidRDefault="00AF25C5" w:rsidP="002210C1">
            <w:pPr>
              <w:spacing w:after="0" w:line="200" w:lineRule="atLeast"/>
              <w:contextualSpacing/>
              <w:rPr>
                <w:rFonts w:ascii="Garamond" w:eastAsia="Times New Roman" w:hAnsi="Garamond" w:cs="Arial"/>
                <w:b/>
                <w:bCs/>
                <w:caps/>
                <w:color w:val="333333"/>
                <w:spacing w:val="36"/>
                <w:sz w:val="15"/>
                <w:szCs w:val="15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aps/>
                <w:color w:val="333333"/>
                <w:spacing w:val="36"/>
                <w:sz w:val="15"/>
                <w:szCs w:val="15"/>
                <w:lang w:eastAsia="cs-CZ"/>
              </w:rPr>
              <w:t>TEXT POLOŽKY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2" w:space="0" w:color="CDD9E5"/>
            </w:tcBorders>
            <w:shd w:val="clear" w:color="auto" w:fill="F2F2F2"/>
            <w:tcMar>
              <w:top w:w="173" w:type="dxa"/>
              <w:left w:w="120" w:type="dxa"/>
              <w:bottom w:w="173" w:type="dxa"/>
              <w:right w:w="120" w:type="dxa"/>
            </w:tcMar>
            <w:hideMark/>
          </w:tcPr>
          <w:p w14:paraId="0E9A743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b/>
                <w:bCs/>
                <w:caps/>
                <w:color w:val="333333"/>
                <w:spacing w:val="36"/>
                <w:sz w:val="15"/>
                <w:szCs w:val="15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aps/>
                <w:color w:val="333333"/>
                <w:spacing w:val="36"/>
                <w:sz w:val="15"/>
                <w:szCs w:val="15"/>
                <w:lang w:eastAsia="cs-CZ"/>
              </w:rPr>
              <w:t>OBSAH POLOŽKY</w:t>
            </w:r>
          </w:p>
        </w:tc>
      </w:tr>
      <w:tr w:rsidR="00AF25C5" w:rsidRPr="002210C1" w14:paraId="25C9F2E7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E2D89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1. Název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59FA2" w14:textId="77777777" w:rsidR="00AF25C5" w:rsidRPr="002210C1" w:rsidRDefault="00AF25C5" w:rsidP="00DD586A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Obvodní soud pro Prahu 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</w:p>
        </w:tc>
      </w:tr>
      <w:tr w:rsidR="00AF25C5" w:rsidRPr="002210C1" w14:paraId="4D68057F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854B8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5656F7A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61678F38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2. Důvod a způsob založení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E311B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38DEC9E0" w14:textId="31023999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Podle </w:t>
            </w: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zák.č</w:t>
            </w:r>
            <w:proofErr w:type="spell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 1/1993 Sb. Ústava ČR, čl. 4</w:t>
            </w:r>
            <w:r w:rsidR="00EE578D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,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90 a násl.</w:t>
            </w:r>
            <w:r w:rsidR="00EE578D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,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soudy zajišťují ochranu právům. Soustavu soudů tvoří Nejvyšší soud, Nejvyšší správní soud, vrchní, krajské a okresní soudy.</w:t>
            </w:r>
          </w:p>
          <w:p w14:paraId="55F373E2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77B19950" w14:textId="50C60FCE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Názvy, obvody a sídla okresních soudů jsou stanoveny v příloze č. 3, 4 zák. č. 6/2002 Sb. o soudech, soudcích, přísedících a státní správě soudů a o změně některých dalších zákonů. Do obvodu Obvodního soudu pro Prahu 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náleží území městských částí Praha 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  <w:r w:rsidR="00EE578D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</w:t>
            </w:r>
          </w:p>
          <w:p w14:paraId="735387B2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6689BEC2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Odvolacím orgánem je Městský soud v Praze.</w:t>
            </w:r>
          </w:p>
        </w:tc>
      </w:tr>
      <w:tr w:rsidR="00AF25C5" w:rsidRPr="002210C1" w14:paraId="5F977317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7BDFE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3. Organizační struktura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07F7C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4" w:history="1">
              <w:r w:rsidR="00C179F4" w:rsidRPr="002210C1">
                <w:rPr>
                  <w:rStyle w:val="Hypertextovodkaz"/>
                  <w:rFonts w:ascii="Garamond" w:hAnsi="Garamond"/>
                </w:rPr>
                <w:t>Základní informace - Portál justice</w:t>
              </w:r>
            </w:hyperlink>
          </w:p>
        </w:tc>
      </w:tr>
      <w:tr w:rsidR="00AF25C5" w:rsidRPr="002210C1" w14:paraId="06DBBC6F" w14:textId="77777777" w:rsidTr="002210C1">
        <w:tc>
          <w:tcPr>
            <w:tcW w:w="10121" w:type="dxa"/>
            <w:gridSpan w:val="2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7184A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olor w:val="5B5B5D"/>
                <w:sz w:val="17"/>
                <w:szCs w:val="17"/>
                <w:lang w:eastAsia="cs-CZ"/>
              </w:rPr>
              <w:t>4. Kontaktní spojení</w:t>
            </w:r>
          </w:p>
        </w:tc>
      </w:tr>
      <w:tr w:rsidR="00AF25C5" w:rsidRPr="002210C1" w14:paraId="0E6BC0AC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890DE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4.1 Kontaktní poštovní adresa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A6460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Obvodní soud pro Prahu 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</w:p>
          <w:p w14:paraId="3429748B" w14:textId="77777777" w:rsidR="00AF25C5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Francouzská 19</w:t>
            </w:r>
          </w:p>
          <w:p w14:paraId="3568BEC8" w14:textId="77777777" w:rsidR="00AF25C5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120 </w:t>
            </w:r>
            <w:proofErr w:type="gram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00  Praha</w:t>
            </w:r>
            <w:proofErr w:type="gram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2</w:t>
            </w:r>
            <w:r w:rsidR="00AF25C5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br/>
              <w:t> </w:t>
            </w:r>
          </w:p>
        </w:tc>
      </w:tr>
      <w:tr w:rsidR="00AF25C5" w:rsidRPr="002210C1" w14:paraId="607B8A54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B3AEF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4.2 Adresa úřadovny pro osobní návštěvu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0C25B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Obvodní soud pro Prahu 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</w:p>
          <w:p w14:paraId="2B4D0D9A" w14:textId="77777777" w:rsidR="00AF25C5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Francouzská 19</w:t>
            </w:r>
          </w:p>
          <w:p w14:paraId="460FA00A" w14:textId="77777777" w:rsidR="00AF25C5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120 </w:t>
            </w:r>
            <w:proofErr w:type="gram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00  Praha</w:t>
            </w:r>
            <w:proofErr w:type="gram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2</w:t>
            </w:r>
          </w:p>
        </w:tc>
      </w:tr>
      <w:tr w:rsidR="00AF25C5" w:rsidRPr="002210C1" w14:paraId="604AA0BC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6AB87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4.3 Úřední hodiny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F5347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5" w:history="1">
              <w:r w:rsidR="00DD586A" w:rsidRPr="002210C1">
                <w:rPr>
                  <w:rStyle w:val="Hypertextovodkaz"/>
                  <w:rFonts w:ascii="Garamond" w:hAnsi="Garamond"/>
                </w:rPr>
                <w:t>Úřední hodiny - Portál justice</w:t>
              </w:r>
            </w:hyperlink>
          </w:p>
        </w:tc>
      </w:tr>
      <w:tr w:rsidR="00AF25C5" w:rsidRPr="002210C1" w14:paraId="2646B839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53340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4.4 Telefonní čísla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BE7C2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6" w:history="1">
              <w:r w:rsidR="00DD586A" w:rsidRPr="002210C1">
                <w:rPr>
                  <w:rStyle w:val="Hypertextovodkaz"/>
                  <w:rFonts w:ascii="Garamond" w:hAnsi="Garamond"/>
                </w:rPr>
                <w:t>Kontakty - Portál justice</w:t>
              </w:r>
            </w:hyperlink>
          </w:p>
        </w:tc>
      </w:tr>
      <w:tr w:rsidR="00AF25C5" w:rsidRPr="002210C1" w14:paraId="58D3B409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625C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4.5 Adresa internetových stránek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3BFD9" w14:textId="2E93677D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7" w:history="1">
              <w:r w:rsidR="00136CD3" w:rsidRPr="00DA1416">
                <w:rPr>
                  <w:rStyle w:val="Hypertextovodkaz"/>
                  <w:rFonts w:ascii="Garamond" w:eastAsia="Times New Roman" w:hAnsi="Garamond" w:cs="Arial"/>
                  <w:sz w:val="17"/>
                  <w:szCs w:val="17"/>
                  <w:lang w:eastAsia="cs-CZ"/>
                </w:rPr>
                <w:t>https://www.justice.cz/web/obvodni-soud-pro-prahu-2/</w:t>
              </w:r>
            </w:hyperlink>
            <w:r w:rsidR="00136CD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hyperlink r:id="rId8" w:history="1"/>
          </w:p>
        </w:tc>
      </w:tr>
      <w:tr w:rsidR="00AF25C5" w:rsidRPr="002210C1" w14:paraId="610A3B11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EA3B2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62CAC91D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18925B7E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41CCB13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4.6 Adresa podatelny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7468C" w14:textId="77777777" w:rsidR="00DD586A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Obvodní soud pro Prahu 2</w:t>
            </w:r>
          </w:p>
          <w:p w14:paraId="661A5235" w14:textId="77777777" w:rsidR="00DD586A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Francouzská 19</w:t>
            </w:r>
          </w:p>
          <w:p w14:paraId="1AD0A3EE" w14:textId="77777777" w:rsidR="00AF25C5" w:rsidRPr="002210C1" w:rsidRDefault="00DD586A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120 00 Praha 2</w:t>
            </w:r>
          </w:p>
          <w:p w14:paraId="512DB1C9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9" w:history="1">
              <w:r w:rsidR="00C179F4" w:rsidRPr="002210C1">
                <w:rPr>
                  <w:rStyle w:val="Hypertextovodkaz"/>
                  <w:rFonts w:ascii="Garamond" w:hAnsi="Garamond"/>
                </w:rPr>
                <w:t>Základní informace - Portál justice</w:t>
              </w:r>
            </w:hyperlink>
            <w:r w:rsidR="00351613" w:rsidRPr="002210C1">
              <w:rPr>
                <w:rFonts w:ascii="Garamond" w:hAnsi="Garamond"/>
              </w:rPr>
              <w:t xml:space="preserve"> (možnosti elektronického podání)</w:t>
            </w:r>
          </w:p>
        </w:tc>
      </w:tr>
      <w:tr w:rsidR="00AF25C5" w:rsidRPr="002210C1" w14:paraId="4B5B5BB3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8ED37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lastRenderedPageBreak/>
              <w:t>4.7 Elektronická adresa podatelny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1425B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0" w:history="1">
              <w:r w:rsidR="00DD586A" w:rsidRPr="002210C1">
                <w:rPr>
                  <w:rStyle w:val="Hypertextovodkaz"/>
                  <w:rFonts w:ascii="Garamond" w:eastAsia="Times New Roman" w:hAnsi="Garamond" w:cs="Arial"/>
                  <w:sz w:val="17"/>
                  <w:szCs w:val="17"/>
                  <w:lang w:eastAsia="cs-CZ"/>
                </w:rPr>
                <w:t>podatelna@osoud.pha2.justice.cz</w:t>
              </w:r>
            </w:hyperlink>
          </w:p>
        </w:tc>
      </w:tr>
      <w:tr w:rsidR="00AF25C5" w:rsidRPr="002210C1" w14:paraId="604A4C90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9B62D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4.8 Datová schránka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E9D02" w14:textId="77777777" w:rsidR="00AF25C5" w:rsidRPr="002210C1" w:rsidRDefault="00AF25C5" w:rsidP="00DD586A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  <w:r w:rsidR="00DD586A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eksab3e</w:t>
            </w:r>
          </w:p>
        </w:tc>
      </w:tr>
      <w:tr w:rsidR="00AF25C5" w:rsidRPr="002210C1" w14:paraId="29A9AFE8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80D4D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5. Případné platby lze poukázat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30669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1" w:history="1">
              <w:r w:rsidR="00DD586A" w:rsidRPr="002210C1">
                <w:rPr>
                  <w:rStyle w:val="Hypertextovodkaz"/>
                  <w:rFonts w:ascii="Garamond" w:hAnsi="Garamond"/>
                </w:rPr>
                <w:t>Základní informace - Portál justice</w:t>
              </w:r>
            </w:hyperlink>
          </w:p>
        </w:tc>
      </w:tr>
      <w:tr w:rsidR="00AF25C5" w:rsidRPr="002210C1" w14:paraId="2C6AF942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E0EE0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6. IČO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D9F0A" w14:textId="77777777" w:rsidR="00AF25C5" w:rsidRPr="002210C1" w:rsidRDefault="00C179F4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hAnsi="Garamond" w:cs="Arial"/>
                <w:bCs/>
                <w:color w:val="000000"/>
                <w:sz w:val="17"/>
                <w:szCs w:val="17"/>
              </w:rPr>
              <w:t>00024392</w:t>
            </w:r>
          </w:p>
        </w:tc>
      </w:tr>
      <w:tr w:rsidR="00AF25C5" w:rsidRPr="002210C1" w14:paraId="782312A9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91C6A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7. Plátce daně z přidané hodnoty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3D443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Nejsme plátci</w:t>
            </w:r>
          </w:p>
        </w:tc>
      </w:tr>
      <w:tr w:rsidR="00AF25C5" w:rsidRPr="002210C1" w14:paraId="4CF316D0" w14:textId="77777777" w:rsidTr="002210C1">
        <w:tc>
          <w:tcPr>
            <w:tcW w:w="10121" w:type="dxa"/>
            <w:gridSpan w:val="2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FD53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olor w:val="5B5B5D"/>
                <w:sz w:val="17"/>
                <w:szCs w:val="17"/>
                <w:lang w:eastAsia="cs-CZ"/>
              </w:rPr>
              <w:t>8. Dokumenty</w:t>
            </w:r>
          </w:p>
        </w:tc>
      </w:tr>
      <w:tr w:rsidR="00AF25C5" w:rsidRPr="002210C1" w14:paraId="0EC54861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F0B32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8.1 Seznamy hlavních dokumentů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D4AA4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2" w:history="1">
              <w:r w:rsidR="00C179F4" w:rsidRPr="002210C1">
                <w:rPr>
                  <w:rStyle w:val="Hypertextovodkaz"/>
                  <w:rFonts w:ascii="Garamond" w:hAnsi="Garamond"/>
                </w:rPr>
                <w:t>Rozvrh práce - Portál justice</w:t>
              </w:r>
            </w:hyperlink>
          </w:p>
        </w:tc>
      </w:tr>
      <w:tr w:rsidR="00AF25C5" w:rsidRPr="002210C1" w14:paraId="093EEDA2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659B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8.2 Rozpočet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C0529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</w:p>
        </w:tc>
      </w:tr>
      <w:tr w:rsidR="00AF25C5" w:rsidRPr="002210C1" w14:paraId="5F7C57F6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1D8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9. Žádosti o informace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C3D9A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Informace pro účastníky řízení je možno získat v informačním centru na výše uvedených kontaktech.</w:t>
            </w:r>
          </w:p>
          <w:p w14:paraId="1F23FEF6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42F8D7D1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Žádosti o informace podle zák. č. 106/1999 se podávají písemně s náležitostmi podle cit. zákona.</w:t>
            </w:r>
          </w:p>
        </w:tc>
      </w:tr>
      <w:tr w:rsidR="00AF25C5" w:rsidRPr="002210C1" w14:paraId="3A7CD8E9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7513C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10. Příjem podání a podnětů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42E9C" w14:textId="77777777" w:rsidR="00AF25C5" w:rsidRPr="002210C1" w:rsidRDefault="00AF25C5" w:rsidP="00C179F4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Podání a stížnosti lze zaslat na kontakty uvedené výše, či podat osobně v písemné formě na podatelnu soudu, případně se lze objednat k sepisu stížnosti na tel. č. </w:t>
            </w:r>
            <w:r w:rsidR="00C179F4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221 510 212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 Sepisy návrhů ústně do protokolu lze uskutečnit pouze dle § 14 zák. č. 292/2013 Sb., o zvláštních řízeních soudních.</w:t>
            </w:r>
          </w:p>
        </w:tc>
      </w:tr>
      <w:tr w:rsidR="00AF25C5" w:rsidRPr="002210C1" w14:paraId="4F96CF2B" w14:textId="77777777" w:rsidTr="002210C1">
        <w:tc>
          <w:tcPr>
            <w:tcW w:w="10121" w:type="dxa"/>
            <w:gridSpan w:val="2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A2BFF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olor w:val="5B5B5D"/>
                <w:sz w:val="17"/>
                <w:szCs w:val="17"/>
                <w:lang w:eastAsia="cs-CZ"/>
              </w:rPr>
              <w:t>11. Předpisy</w:t>
            </w:r>
          </w:p>
        </w:tc>
      </w:tr>
      <w:tr w:rsidR="00AF25C5" w:rsidRPr="002210C1" w14:paraId="65327997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69649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11.1 Nejdůležitější používané předpisy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05D6B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3" w:history="1">
              <w:r w:rsidR="00AF25C5" w:rsidRPr="002210C1">
                <w:rPr>
                  <w:rFonts w:ascii="Garamond" w:eastAsia="Times New Roman" w:hAnsi="Garamond" w:cs="Arial"/>
                  <w:color w:val="4D7295"/>
                  <w:sz w:val="17"/>
                  <w:szCs w:val="17"/>
                  <w:u w:val="single"/>
                  <w:lang w:eastAsia="cs-CZ"/>
                </w:rPr>
                <w:t>zák. č. 2/69 Sb. </w:t>
              </w:r>
            </w:hyperlink>
            <w:r w:rsidR="00AF25C5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 zřízení ministerstev a jiných ústředních orgánů státní správy ČR</w:t>
            </w:r>
          </w:p>
          <w:p w14:paraId="24EEB49A" w14:textId="77777777" w:rsidR="008B0094" w:rsidRPr="002210C1" w:rsidRDefault="008B0094" w:rsidP="008B0094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6/2002 Sb. o soudech, soudcích, přísedících a státní správě soudů</w:t>
            </w:r>
          </w:p>
          <w:p w14:paraId="4AF78462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40/2009 Sb. trestní zákoník</w:t>
            </w:r>
          </w:p>
          <w:p w14:paraId="149E8E61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141/1961 Sb. trestní řád</w:t>
            </w:r>
          </w:p>
          <w:p w14:paraId="6E6DFB84" w14:textId="7AF0C83B" w:rsidR="001726EB" w:rsidRPr="002210C1" w:rsidRDefault="001726EB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104/2013 Sb. o mezinárodní justiční spolupráci ve věcech trestních</w:t>
            </w:r>
          </w:p>
          <w:p w14:paraId="21C8CC7F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89/2012 Sb. občanský zákoník</w:t>
            </w:r>
          </w:p>
          <w:p w14:paraId="69A87B58" w14:textId="77777777" w:rsidR="001726EB" w:rsidRDefault="001726EB" w:rsidP="001726EB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82/1998 Sb. o odpovědnosti za škodu způsobenou při výkonu veřejné moci rozhodnutím nebo nesprávným úředním postupem</w:t>
            </w:r>
          </w:p>
          <w:p w14:paraId="705354BF" w14:textId="2F09DAF9" w:rsidR="001726EB" w:rsidRPr="002210C1" w:rsidRDefault="001726EB" w:rsidP="001726EB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262/2006 Sb. zákoník práce</w:t>
            </w:r>
          </w:p>
          <w:p w14:paraId="2F59F2E3" w14:textId="623DF6E3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</w:t>
            </w:r>
            <w:r w:rsidR="00136CD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č. 99/1963 Sb. občanský soudní řád</w:t>
            </w:r>
          </w:p>
          <w:p w14:paraId="28C7C4A2" w14:textId="7E3552EE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lastRenderedPageBreak/>
              <w:t>zák</w:t>
            </w:r>
            <w:r w:rsidR="00136CD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č. 549/1991 Sb. o soudních poplatcích</w:t>
            </w:r>
          </w:p>
          <w:p w14:paraId="553FBB30" w14:textId="5D8FE7B4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269/1994 Sb. o Rejstříku trestů</w:t>
            </w:r>
          </w:p>
          <w:p w14:paraId="08FCFF4D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110/2019 Sb. o zpracování osobních údajů a 111/2019 Sb., kterým se mění některé zákony v souvislosti s přijetím zákona o zpracování osobních údajů</w:t>
            </w:r>
          </w:p>
          <w:p w14:paraId="0EB58800" w14:textId="7B0D0A38" w:rsidR="003321B5" w:rsidRPr="002210C1" w:rsidRDefault="003321B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120/2001 Sb. o soudních exekutorech a exekuční činnosti</w:t>
            </w:r>
          </w:p>
          <w:p w14:paraId="23A2304C" w14:textId="27FE753A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</w:t>
            </w:r>
            <w:r w:rsidR="008B0094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č.</w:t>
            </w:r>
            <w:r w:rsidR="008B0094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358/1992</w:t>
            </w:r>
            <w:r w:rsidR="001726EB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Sb.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notářský řád</w:t>
            </w:r>
          </w:p>
          <w:p w14:paraId="20239493" w14:textId="172AFC73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209/1992 Sb. </w:t>
            </w:r>
            <w:r w:rsidR="001726EB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Úmluva o ochraně lidských práv a základních svobod</w:t>
            </w:r>
          </w:p>
          <w:p w14:paraId="10079163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23/1991 Sb. Listina základních práv a svobod</w:t>
            </w:r>
          </w:p>
          <w:p w14:paraId="6BD7C188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106/1999 Sb. o svobodném přístupu k informacím</w:t>
            </w:r>
          </w:p>
          <w:p w14:paraId="0D614F78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zák. č. 218/2000 Sb. </w:t>
            </w:r>
            <w:proofErr w:type="gram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  rozpočtových</w:t>
            </w:r>
            <w:proofErr w:type="gram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pravidlech</w:t>
            </w:r>
          </w:p>
          <w:p w14:paraId="69327387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219/2000 Sb. o majetku ČR a jejím vystupování v právních vztazích</w:t>
            </w:r>
          </w:p>
          <w:p w14:paraId="09FCBF8C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7/2002 Sb.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 řízení ve věcech soudců, stát. zástupců a soudních exekutorů</w:t>
            </w:r>
          </w:p>
          <w:p w14:paraId="404D1A8D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283/1993 Sb. o státním zastupitelství</w:t>
            </w:r>
          </w:p>
          <w:p w14:paraId="69007201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555/1992 Sb. o Vězeňské službě a justiční stráži České republiky</w:t>
            </w:r>
          </w:p>
          <w:p w14:paraId="512287F3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121/2008 Sb.  o vyšších soudních úřednících</w:t>
            </w:r>
          </w:p>
          <w:p w14:paraId="34C64B39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148/1998 Sb. o ochraně utajovaných skutečností a o změně některých zákonů</w:t>
            </w:r>
          </w:p>
          <w:p w14:paraId="36408A4C" w14:textId="77777777" w:rsidR="003321B5" w:rsidRPr="002210C1" w:rsidRDefault="003321B5" w:rsidP="003321B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253/2008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Sb. o některých opatřeních proti legalizaci výnosů z trestné činnosti a financování terorismu</w:t>
            </w:r>
          </w:p>
          <w:p w14:paraId="4F86E014" w14:textId="77777777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zák. č. 293/1993 Sb. o výkonu vazby</w:t>
            </w:r>
          </w:p>
          <w:p w14:paraId="044F3789" w14:textId="747233D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vyhl</w:t>
            </w:r>
            <w:proofErr w:type="spell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 M</w:t>
            </w:r>
            <w:r w:rsidR="00900435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inisterstva spravedlnosti č.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109/</w:t>
            </w:r>
            <w:r w:rsidR="008B0094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19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94 Sb.</w:t>
            </w:r>
            <w:r w:rsidR="00900435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,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řád výkonu vazby</w:t>
            </w:r>
          </w:p>
          <w:p w14:paraId="6E123532" w14:textId="14D9B97D" w:rsidR="00AF25C5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vyhl</w:t>
            </w:r>
            <w:proofErr w:type="spell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 M</w:t>
            </w:r>
            <w:r w:rsidR="00900435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inisterstva spravedlnosti č.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345/1999</w:t>
            </w:r>
            <w:r w:rsidR="008B0094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Sb.</w:t>
            </w:r>
            <w:r w:rsidR="00900435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,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řád výkonu trest odnětí svobody</w:t>
            </w:r>
          </w:p>
          <w:p w14:paraId="40898276" w14:textId="6677969C" w:rsidR="00900435" w:rsidRPr="002210C1" w:rsidRDefault="00900435" w:rsidP="0090043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vyh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l</w:t>
            </w:r>
            <w:proofErr w:type="spellEnd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.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Ministerstva spravedlnosti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č. 37/1992 Sb.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, o jednacím řádu pro okresní a krajské soudy</w:t>
            </w:r>
          </w:p>
          <w:p w14:paraId="1877A1DE" w14:textId="7FADA994" w:rsidR="00900435" w:rsidRDefault="0090043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I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nstrukce č. 505/2001-Org., kterou se vydává vnitřní a kancelářský řád pro okresní, krajské a vrchní soudy</w:t>
            </w:r>
          </w:p>
          <w:p w14:paraId="3E15ECA5" w14:textId="35873310" w:rsidR="003321B5" w:rsidRDefault="003321B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Instrukce č. 13/2008-SOSV-SP, kterou se provádějí některá ustanovení zákona č. 106/1999 Sb., o svobodném přístupu k</w:t>
            </w:r>
            <w:r w:rsidR="00F00225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informacím</w:t>
            </w:r>
          </w:p>
          <w:p w14:paraId="2F5A4D5D" w14:textId="31A79036" w:rsidR="00F00225" w:rsidRPr="002210C1" w:rsidRDefault="00F0022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Instrukce č. 286/2011-OT-OSV, kterou se stanoví sazebník úhrad za poskytování informací </w:t>
            </w:r>
            <w:r w:rsidR="00F30EAE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podle zákona č. 106/1999 Sb., o svobodném přístupu k informacím</w:t>
            </w:r>
          </w:p>
          <w:p w14:paraId="52280AC8" w14:textId="74932D3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Tyto předpisy přístupné k nahlédnutí: </w:t>
            </w:r>
            <w:hyperlink r:id="rId14" w:history="1">
              <w:r w:rsidRPr="002210C1">
                <w:rPr>
                  <w:rFonts w:ascii="Garamond" w:eastAsia="Times New Roman" w:hAnsi="Garamond" w:cs="Arial"/>
                  <w:color w:val="4D7295"/>
                  <w:sz w:val="17"/>
                  <w:szCs w:val="17"/>
                  <w:u w:val="single"/>
                  <w:lang w:eastAsia="cs-CZ"/>
                </w:rPr>
                <w:t>https://aplikace.mvcr.cz/sbirka-zakonu/</w:t>
              </w:r>
            </w:hyperlink>
          </w:p>
        </w:tc>
      </w:tr>
      <w:tr w:rsidR="00AF25C5" w:rsidRPr="002210C1" w14:paraId="141F07DF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F750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lastRenderedPageBreak/>
              <w:t>11.2 Vydané právní předpisy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8E828" w14:textId="77777777" w:rsidR="00AF25C5" w:rsidRPr="002210C1" w:rsidRDefault="00000000" w:rsidP="001C5874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5" w:history="1">
              <w:r w:rsidR="001C5874" w:rsidRPr="002210C1">
                <w:rPr>
                  <w:rStyle w:val="Hypertextovodkaz"/>
                  <w:rFonts w:ascii="Garamond" w:hAnsi="Garamond"/>
                </w:rPr>
                <w:t>Základní informace - Portál justice</w:t>
              </w:r>
            </w:hyperlink>
            <w:r w:rsidR="001C5874" w:rsidRPr="002210C1">
              <w:rPr>
                <w:rFonts w:ascii="Garamond" w:hAnsi="Garamond"/>
              </w:rPr>
              <w:t xml:space="preserve"> (GDPR)</w:t>
            </w:r>
            <w:r w:rsidR="00AF25C5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br/>
            </w:r>
            <w:hyperlink r:id="rId16" w:history="1">
              <w:r w:rsidR="001C5874" w:rsidRPr="002210C1">
                <w:rPr>
                  <w:rStyle w:val="Hypertextovodkaz"/>
                  <w:rFonts w:ascii="Garamond" w:eastAsia="Times New Roman" w:hAnsi="Garamond" w:cs="Arial"/>
                  <w:sz w:val="17"/>
                  <w:szCs w:val="17"/>
                  <w:lang w:eastAsia="cs-CZ"/>
                </w:rPr>
                <w:t>https://justice.cz/documents/48729/2181685/Intern%C3%AD+protikorup%C4%8Dn%C3%AD+program+OS+2+-+aktualizovan%C3%BD+k+30.6.2020.docx/423bd6c1-243e-46cd-a2bc-cd4c8d844c07</w:t>
              </w:r>
            </w:hyperlink>
            <w:r w:rsidR="001C5874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 (interní protikorupční program)</w:t>
            </w:r>
          </w:p>
        </w:tc>
      </w:tr>
      <w:tr w:rsidR="00AF25C5" w:rsidRPr="002210C1" w14:paraId="431AD838" w14:textId="77777777" w:rsidTr="002210C1">
        <w:tc>
          <w:tcPr>
            <w:tcW w:w="10121" w:type="dxa"/>
            <w:gridSpan w:val="2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DB87A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olor w:val="5B5B5D"/>
                <w:sz w:val="17"/>
                <w:szCs w:val="17"/>
                <w:lang w:eastAsia="cs-CZ"/>
              </w:rPr>
              <w:t>12. Úhrady za poskytování informací</w:t>
            </w:r>
          </w:p>
        </w:tc>
      </w:tr>
      <w:tr w:rsidR="00AF25C5" w:rsidRPr="002210C1" w14:paraId="7EE53A8B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5A32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lastRenderedPageBreak/>
              <w:t>12.1 Sazebník úhrad za poskytování informací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0DB98" w14:textId="77777777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7" w:history="1">
              <w:r w:rsidR="001C5874" w:rsidRPr="002210C1">
                <w:rPr>
                  <w:rStyle w:val="Hypertextovodkaz"/>
                  <w:rFonts w:ascii="Garamond" w:hAnsi="Garamond"/>
                </w:rPr>
                <w:t>Základní informace - podrobnos</w:t>
              </w:r>
              <w:r w:rsidR="001C5874" w:rsidRPr="002210C1">
                <w:rPr>
                  <w:rStyle w:val="Hypertextovodkaz"/>
                  <w:rFonts w:ascii="Garamond" w:hAnsi="Garamond"/>
                </w:rPr>
                <w:t>t</w:t>
              </w:r>
              <w:r w:rsidR="001C5874" w:rsidRPr="002210C1">
                <w:rPr>
                  <w:rStyle w:val="Hypertextovodkaz"/>
                  <w:rFonts w:ascii="Garamond" w:hAnsi="Garamond"/>
                </w:rPr>
                <w:t>i - Portál justice</w:t>
              </w:r>
            </w:hyperlink>
            <w:r w:rsidR="001C5874" w:rsidRPr="002210C1">
              <w:rPr>
                <w:rFonts w:ascii="Garamond" w:hAnsi="Garamond"/>
              </w:rPr>
              <w:t xml:space="preserve"> (Podávání informací)</w:t>
            </w:r>
          </w:p>
        </w:tc>
      </w:tr>
      <w:tr w:rsidR="00AF25C5" w:rsidRPr="002210C1" w14:paraId="7C518005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3EF0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12.2 Rozhodnutí nadřízeného orgánu o výši úhrad za poskytnutí informací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5447F" w14:textId="239BDFF9" w:rsidR="00AF25C5" w:rsidRPr="002210C1" w:rsidRDefault="00000000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8" w:anchor="I106" w:history="1">
              <w:r w:rsidR="002210C1" w:rsidRPr="002210C1">
                <w:rPr>
                  <w:rStyle w:val="Hypertextovodkaz"/>
                  <w:rFonts w:ascii="Garamond" w:hAnsi="Garamond"/>
                </w:rPr>
                <w:t xml:space="preserve">Aktuální </w:t>
              </w:r>
              <w:proofErr w:type="gramStart"/>
              <w:r w:rsidR="002210C1" w:rsidRPr="002210C1">
                <w:rPr>
                  <w:rStyle w:val="Hypertextovodkaz"/>
                  <w:rFonts w:ascii="Garamond" w:hAnsi="Garamond"/>
                </w:rPr>
                <w:t xml:space="preserve">stav - </w:t>
              </w:r>
              <w:proofErr w:type="spellStart"/>
              <w:r w:rsidR="002210C1" w:rsidRPr="002210C1">
                <w:rPr>
                  <w:rStyle w:val="Hypertextovodkaz"/>
                  <w:rFonts w:ascii="Garamond" w:hAnsi="Garamond"/>
                </w:rPr>
                <w:t>infoDeska</w:t>
              </w:r>
              <w:proofErr w:type="spellEnd"/>
              <w:proofErr w:type="gramEnd"/>
              <w:r w:rsidR="002210C1" w:rsidRPr="002210C1">
                <w:rPr>
                  <w:rStyle w:val="Hypertextovodkaz"/>
                  <w:rFonts w:ascii="Garamond" w:hAnsi="Garamond"/>
                </w:rPr>
                <w:t xml:space="preserve"> Obvodní soud pro Prahu 2</w:t>
              </w:r>
            </w:hyperlink>
          </w:p>
        </w:tc>
      </w:tr>
      <w:tr w:rsidR="00AF25C5" w:rsidRPr="002210C1" w14:paraId="3E8BAE46" w14:textId="77777777" w:rsidTr="002210C1">
        <w:tc>
          <w:tcPr>
            <w:tcW w:w="10121" w:type="dxa"/>
            <w:gridSpan w:val="2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92F62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olor w:val="5B5B5D"/>
                <w:sz w:val="17"/>
                <w:szCs w:val="17"/>
                <w:lang w:eastAsia="cs-CZ"/>
              </w:rPr>
              <w:t>13. Licenční smlouvy</w:t>
            </w:r>
          </w:p>
        </w:tc>
      </w:tr>
      <w:tr w:rsidR="00AF25C5" w:rsidRPr="002210C1" w14:paraId="6F352210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98DF2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13.1 Vzory licenčních smluv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74092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Soud se připojuje v rámci rámcových dohod k licenčním smlouvám uzavřeným MSp.</w:t>
            </w:r>
          </w:p>
        </w:tc>
      </w:tr>
      <w:tr w:rsidR="00AF25C5" w:rsidRPr="002210C1" w14:paraId="532077B1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8B7EC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13.2 Výhradní licence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4B92B" w14:textId="77777777" w:rsidR="00AF25C5" w:rsidRPr="002210C1" w:rsidRDefault="00AF25C5" w:rsidP="00AF25C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418D462E" w14:textId="77777777" w:rsidTr="002210C1">
        <w:tc>
          <w:tcPr>
            <w:tcW w:w="1456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CAFAC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14. Výroční zpráva podle zákona o svobodném přístupu k informacím</w:t>
            </w:r>
          </w:p>
        </w:tc>
        <w:tc>
          <w:tcPr>
            <w:tcW w:w="8665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C2250" w14:textId="77777777" w:rsidR="00AF25C5" w:rsidRPr="002210C1" w:rsidRDefault="00000000" w:rsidP="00C056D5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19" w:history="1">
              <w:r w:rsidR="00C056D5" w:rsidRPr="002210C1">
                <w:rPr>
                  <w:rStyle w:val="Hypertextovodkaz"/>
                  <w:rFonts w:ascii="Garamond" w:hAnsi="Garamond"/>
                </w:rPr>
                <w:t>Základní informace - podrobnosti - Portál justice</w:t>
              </w:r>
            </w:hyperlink>
            <w:r w:rsidR="00C056D5" w:rsidRPr="002210C1">
              <w:rPr>
                <w:rFonts w:ascii="Garamond" w:hAnsi="Garamond"/>
              </w:rPr>
              <w:t xml:space="preserve"> (Výroční zprávy)</w:t>
            </w:r>
          </w:p>
        </w:tc>
      </w:tr>
    </w:tbl>
    <w:p w14:paraId="1A444A65" w14:textId="77777777" w:rsidR="002210C1" w:rsidRPr="002210C1" w:rsidRDefault="002210C1" w:rsidP="002210C1">
      <w:pPr>
        <w:pageBreakBefore/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sz w:val="21"/>
          <w:szCs w:val="21"/>
          <w:lang w:eastAsia="cs-CZ"/>
        </w:rPr>
      </w:pPr>
    </w:p>
    <w:p w14:paraId="6040F631" w14:textId="174702D4" w:rsidR="00AF25C5" w:rsidRPr="002210C1" w:rsidRDefault="00AF25C5" w:rsidP="002210C1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sz w:val="21"/>
          <w:szCs w:val="21"/>
          <w:lang w:eastAsia="cs-CZ"/>
        </w:rPr>
      </w:pPr>
      <w:r w:rsidRPr="002210C1">
        <w:rPr>
          <w:rFonts w:ascii="Garamond" w:eastAsia="Times New Roman" w:hAnsi="Garamond" w:cs="Arial"/>
          <w:color w:val="5B5B5D"/>
          <w:sz w:val="21"/>
          <w:szCs w:val="21"/>
          <w:lang w:eastAsia="cs-CZ"/>
        </w:rPr>
        <w:t>Příloha č. 2 k vyhlášce č. 515/2020 Sb.</w:t>
      </w:r>
    </w:p>
    <w:p w14:paraId="3731A1B3" w14:textId="77777777" w:rsidR="00AF25C5" w:rsidRPr="002210C1" w:rsidRDefault="00AF25C5" w:rsidP="002210C1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sz w:val="21"/>
          <w:szCs w:val="21"/>
          <w:lang w:eastAsia="cs-CZ"/>
        </w:rPr>
      </w:pPr>
      <w:r w:rsidRPr="002210C1">
        <w:rPr>
          <w:rFonts w:ascii="Garamond" w:eastAsia="Times New Roman" w:hAnsi="Garamond" w:cs="Arial"/>
          <w:color w:val="5B5B5D"/>
          <w:sz w:val="21"/>
          <w:szCs w:val="21"/>
          <w:lang w:eastAsia="cs-CZ"/>
        </w:rPr>
        <w:t>Osnova popisu úkonů orgánu veřejné moci</w:t>
      </w:r>
    </w:p>
    <w:p w14:paraId="06151916" w14:textId="77777777" w:rsidR="00AF25C5" w:rsidRPr="002210C1" w:rsidRDefault="00AF25C5" w:rsidP="002210C1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sz w:val="21"/>
          <w:szCs w:val="21"/>
          <w:lang w:eastAsia="cs-CZ"/>
        </w:rPr>
      </w:pPr>
      <w:r w:rsidRPr="002210C1">
        <w:rPr>
          <w:rFonts w:ascii="Garamond" w:eastAsia="Times New Roman" w:hAnsi="Garamond" w:cs="Arial"/>
          <w:color w:val="5B5B5D"/>
          <w:sz w:val="21"/>
          <w:szCs w:val="21"/>
          <w:lang w:eastAsia="cs-CZ"/>
        </w:rPr>
        <w:t> </w:t>
      </w:r>
    </w:p>
    <w:tbl>
      <w:tblPr>
        <w:tblW w:w="9781" w:type="dxa"/>
        <w:tblInd w:w="-570" w:type="dxa"/>
        <w:shd w:val="clear" w:color="auto" w:fill="F7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363"/>
      </w:tblGrid>
      <w:tr w:rsidR="00AF25C5" w:rsidRPr="002210C1" w14:paraId="04804F98" w14:textId="77777777" w:rsidTr="002210C1">
        <w:trPr>
          <w:tblHeader/>
        </w:trPr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2F2F2"/>
            <w:tcMar>
              <w:top w:w="173" w:type="dxa"/>
              <w:left w:w="120" w:type="dxa"/>
              <w:bottom w:w="173" w:type="dxa"/>
              <w:right w:w="120" w:type="dxa"/>
            </w:tcMar>
            <w:hideMark/>
          </w:tcPr>
          <w:p w14:paraId="72701849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  <w:t>POLOŽKA OSNOVY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2" w:space="0" w:color="CDD9E5"/>
            </w:tcBorders>
            <w:shd w:val="clear" w:color="auto" w:fill="F2F2F2"/>
            <w:tcMar>
              <w:top w:w="173" w:type="dxa"/>
              <w:left w:w="120" w:type="dxa"/>
              <w:bottom w:w="173" w:type="dxa"/>
              <w:right w:w="120" w:type="dxa"/>
            </w:tcMar>
            <w:hideMark/>
          </w:tcPr>
          <w:p w14:paraId="5160AAAB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b/>
                <w:bCs/>
                <w:caps/>
                <w:color w:val="5B5B5D"/>
                <w:spacing w:val="36"/>
                <w:sz w:val="15"/>
                <w:szCs w:val="15"/>
                <w:lang w:eastAsia="cs-CZ"/>
              </w:rPr>
              <w:t>POPIS POLOŽKY</w:t>
            </w:r>
          </w:p>
        </w:tc>
      </w:tr>
      <w:tr w:rsidR="00AF25C5" w:rsidRPr="002210C1" w14:paraId="03FE590E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A3C28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71629E60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6F62AC87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Název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1A75C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Soudy projednávají a rozhodují spory a jiné věci patřící do jejich pravomoci podle zákonů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br/>
              <w:t>o občanském soudním řízení, projednávají a rozhodují trestní věci patřící do jejich pravomoci podle zákonů o trestním řízení, rozhodují v dalších případech stanovených zákonem nebo mezinárodní smlouvou, s níž vyslovil souhlas Parlament, jíž je Česká republika vázána a která byla vyhlášena.</w:t>
            </w:r>
          </w:p>
        </w:tc>
      </w:tr>
      <w:tr w:rsidR="00AF25C5" w:rsidRPr="002210C1" w14:paraId="176F381C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B1F6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 jakém případě ve věci jednat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006BB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77BA3307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84D89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Charakteristika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33F8F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Soudní řízení</w:t>
            </w:r>
          </w:p>
        </w:tc>
      </w:tr>
      <w:tr w:rsidR="00AF25C5" w:rsidRPr="002210C1" w14:paraId="458657DA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48AD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Výsledek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EC774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Rozhodnutí soudu</w:t>
            </w:r>
          </w:p>
        </w:tc>
      </w:tr>
      <w:tr w:rsidR="00AF25C5" w:rsidRPr="002210C1" w14:paraId="35A1E6F7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50E3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Kdy věc řešit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EA9B8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549CD45D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65385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Co je nutné doložit při iniciaci úkonu provedené elektronicky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EDB3A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7E0D059A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52ED8A45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BD18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Co je nutné doložit při iniciaci úkonu provedené jinak než elektronicky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1BE12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4215A1D0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44114B46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E4D82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Kde a jakým způsobem lze úkon iniciovat elektronicky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06943" w14:textId="77777777" w:rsidR="00AF25C5" w:rsidRPr="002210C1" w:rsidRDefault="00000000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20" w:history="1">
              <w:proofErr w:type="spellStart"/>
              <w:r w:rsidR="00AF25C5" w:rsidRPr="002210C1">
                <w:rPr>
                  <w:rFonts w:ascii="Garamond" w:eastAsia="Times New Roman" w:hAnsi="Garamond" w:cs="Arial"/>
                  <w:color w:val="4D7295"/>
                  <w:sz w:val="17"/>
                  <w:szCs w:val="17"/>
                  <w:u w:val="single"/>
                  <w:lang w:eastAsia="cs-CZ"/>
                </w:rPr>
                <w:t>ePodatelna</w:t>
              </w:r>
              <w:proofErr w:type="spellEnd"/>
            </w:hyperlink>
          </w:p>
          <w:p w14:paraId="2BE3250E" w14:textId="77777777" w:rsidR="00AF25C5" w:rsidRPr="002210C1" w:rsidRDefault="00000000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hyperlink r:id="rId21" w:history="1">
              <w:r w:rsidR="00AF25C5" w:rsidRPr="002210C1">
                <w:rPr>
                  <w:rFonts w:ascii="Garamond" w:eastAsia="Times New Roman" w:hAnsi="Garamond" w:cs="Arial"/>
                  <w:color w:val="4D7295"/>
                  <w:sz w:val="17"/>
                  <w:szCs w:val="17"/>
                  <w:u w:val="single"/>
                  <w:lang w:eastAsia="cs-CZ"/>
                </w:rPr>
                <w:t>Podání žaloby do DS</w:t>
              </w:r>
            </w:hyperlink>
          </w:p>
        </w:tc>
      </w:tr>
      <w:tr w:rsidR="00AF25C5" w:rsidRPr="002210C1" w14:paraId="592675C9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19751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Kde a jakým jiným způsobem než elektronicky lze úkon iniciovat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6E4EE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7BD94484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Podání žaloby písemně na adresu soudu</w:t>
            </w:r>
          </w:p>
        </w:tc>
      </w:tr>
      <w:tr w:rsidR="00AF25C5" w:rsidRPr="002210C1" w14:paraId="1E1B1AEE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18759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Výše poplatku při iniciaci úkonu provedené elektronicky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22752" w14:textId="69212DBD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Podle zák.</w:t>
            </w:r>
            <w:r w:rsidR="002A421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č. 549/1991 Sb. o soudních poplatcích</w:t>
            </w:r>
          </w:p>
        </w:tc>
      </w:tr>
      <w:tr w:rsidR="00AF25C5" w:rsidRPr="002210C1" w14:paraId="105DCA89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4E166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Výše poplatku při iniciaci úkonu provedené jinak než elektronicky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7BDBA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 </w:t>
            </w:r>
          </w:p>
          <w:p w14:paraId="392660D6" w14:textId="38E4A1BF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Podle zák.</w:t>
            </w:r>
            <w:r w:rsidR="002A421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č. 549/1991 Sb. o soudních poplatcích</w:t>
            </w:r>
          </w:p>
        </w:tc>
      </w:tr>
      <w:tr w:rsidR="00AF25C5" w:rsidRPr="002210C1" w14:paraId="08B13AC0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FA69C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Výše dávky nebo jiného plnění, pokud je předmětem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79B65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42F7C7D6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78F0D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lastRenderedPageBreak/>
              <w:t>Opravné prostředky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79B26" w14:textId="3802CF28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Způsob a lhůtu k podání opravného prostředku obsahuje každ</w:t>
            </w:r>
            <w:r w:rsidR="002A4213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é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rozhodnutí, které je účastníku soudního řízení doručeno.</w:t>
            </w:r>
          </w:p>
        </w:tc>
      </w:tr>
      <w:tr w:rsidR="00AF25C5" w:rsidRPr="002210C1" w14:paraId="7E01C5ED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A3E1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Časté dotazy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C36DF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7E0E0B96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308CA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Sankce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4F23D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004E73DD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7C3D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Působnost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E2F03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Obvodní soud pro Prahu </w:t>
            </w:r>
            <w:r w:rsidR="00C056D5"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2</w:t>
            </w: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 xml:space="preserve"> je organizační složkou státu.</w:t>
            </w:r>
          </w:p>
        </w:tc>
      </w:tr>
      <w:tr w:rsidR="00AF25C5" w:rsidRPr="002210C1" w14:paraId="391C6F92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F9CBB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Oblast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C9BA9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Soudnictví</w:t>
            </w:r>
          </w:p>
        </w:tc>
      </w:tr>
      <w:tr w:rsidR="00AF25C5" w:rsidRPr="002210C1" w14:paraId="3CDD9681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1115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Klíčová slova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27C76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Justice, soudy</w:t>
            </w:r>
          </w:p>
        </w:tc>
      </w:tr>
      <w:tr w:rsidR="00AF25C5" w:rsidRPr="002210C1" w14:paraId="7F051000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3B253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Počátek platnosti popisu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CDD5E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2E478180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3BA54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Konec platnosti popisu úkonu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FD267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  <w:tr w:rsidR="00AF25C5" w:rsidRPr="002210C1" w14:paraId="472DD6D7" w14:textId="77777777" w:rsidTr="002210C1">
        <w:tc>
          <w:tcPr>
            <w:tcW w:w="1418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FE9B0" w14:textId="77777777" w:rsidR="00AF25C5" w:rsidRPr="002210C1" w:rsidRDefault="00AF25C5" w:rsidP="002210C1">
            <w:pPr>
              <w:spacing w:after="0" w:line="200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Výsledek úkonu vedený v základním registru nebo v agendovém informačním systému</w:t>
            </w:r>
          </w:p>
        </w:tc>
        <w:tc>
          <w:tcPr>
            <w:tcW w:w="8363" w:type="dxa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4C4C7" w14:textId="77777777" w:rsidR="00AF25C5" w:rsidRPr="002210C1" w:rsidRDefault="00AF25C5" w:rsidP="002210C1">
            <w:pPr>
              <w:spacing w:after="0" w:line="384" w:lineRule="atLeast"/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</w:pPr>
            <w:proofErr w:type="spellStart"/>
            <w:r w:rsidRPr="002210C1">
              <w:rPr>
                <w:rFonts w:ascii="Garamond" w:eastAsia="Times New Roman" w:hAnsi="Garamond" w:cs="Arial"/>
                <w:color w:val="5B5B5D"/>
                <w:sz w:val="17"/>
                <w:szCs w:val="17"/>
                <w:lang w:eastAsia="cs-CZ"/>
              </w:rPr>
              <w:t>xxx</w:t>
            </w:r>
            <w:proofErr w:type="spellEnd"/>
          </w:p>
        </w:tc>
      </w:tr>
    </w:tbl>
    <w:p w14:paraId="4497DA0F" w14:textId="77777777" w:rsidR="00AF25C5" w:rsidRPr="002210C1" w:rsidRDefault="00AF25C5" w:rsidP="002210C1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sz w:val="21"/>
          <w:szCs w:val="21"/>
          <w:lang w:eastAsia="cs-CZ"/>
        </w:rPr>
      </w:pPr>
      <w:r w:rsidRPr="002210C1">
        <w:rPr>
          <w:rFonts w:ascii="Garamond" w:eastAsia="Times New Roman" w:hAnsi="Garamond" w:cs="Arial"/>
          <w:color w:val="5B5B5D"/>
          <w:sz w:val="21"/>
          <w:szCs w:val="21"/>
          <w:lang w:eastAsia="cs-CZ"/>
        </w:rPr>
        <w:t> </w:t>
      </w:r>
    </w:p>
    <w:p w14:paraId="10955721" w14:textId="77777777" w:rsidR="00A05730" w:rsidRPr="002210C1" w:rsidRDefault="00A05730" w:rsidP="002210C1">
      <w:pPr>
        <w:rPr>
          <w:rFonts w:ascii="Garamond" w:hAnsi="Garamond"/>
        </w:rPr>
      </w:pPr>
    </w:p>
    <w:sectPr w:rsidR="00A05730" w:rsidRPr="0022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C5"/>
    <w:rsid w:val="00136CD3"/>
    <w:rsid w:val="001726EB"/>
    <w:rsid w:val="001C5874"/>
    <w:rsid w:val="001F3FBA"/>
    <w:rsid w:val="002210C1"/>
    <w:rsid w:val="0024415E"/>
    <w:rsid w:val="002A4213"/>
    <w:rsid w:val="003321B5"/>
    <w:rsid w:val="00351613"/>
    <w:rsid w:val="008B0094"/>
    <w:rsid w:val="00900435"/>
    <w:rsid w:val="00A05730"/>
    <w:rsid w:val="00AF25C5"/>
    <w:rsid w:val="00C056D5"/>
    <w:rsid w:val="00C179F4"/>
    <w:rsid w:val="00DD586A"/>
    <w:rsid w:val="00EE578D"/>
    <w:rsid w:val="00F00225"/>
    <w:rsid w:val="00F30EAE"/>
    <w:rsid w:val="00F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A6B3"/>
  <w15:chartTrackingRefBased/>
  <w15:docId w15:val="{2A93A0C8-DD78-4585-A7DC-57972640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25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6CD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gov.cz/web/obvodni-soud-pro-prahu-2/" TargetMode="External"/><Relationship Id="rId13" Type="http://schemas.openxmlformats.org/officeDocument/2006/relationships/hyperlink" Target="http://portal.justice.cz/justice2/ms/ms.aspx?o=23&amp;j=33&amp;k=374&amp;d=8849" TargetMode="External"/><Relationship Id="rId18" Type="http://schemas.openxmlformats.org/officeDocument/2006/relationships/hyperlink" Target="https://infodeska.justice.cz/subjekt.aspx?subjkod=201020&amp;s=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ojedatovaschranka.cz/" TargetMode="External"/><Relationship Id="rId7" Type="http://schemas.openxmlformats.org/officeDocument/2006/relationships/hyperlink" Target="https://www.justice.cz/web/obvodni-soud-pro-prahu-2/" TargetMode="External"/><Relationship Id="rId12" Type="http://schemas.openxmlformats.org/officeDocument/2006/relationships/hyperlink" Target="https://justice.cz/web/obvodni-soud-pro-prahu-2/rozvrh-prace" TargetMode="External"/><Relationship Id="rId17" Type="http://schemas.openxmlformats.org/officeDocument/2006/relationships/hyperlink" Target="https://justice.cz/web/obvodni-soud-pro-prahu-2/zakladni-informace-podrobnosti?clanek=podavani-informa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ustice.cz/documents/48729/2181685/Intern%C3%AD+protikorup%C4%8Dn%C3%AD+program+OS+2+-+aktualizovan%C3%BD+k+30.6.2020.docx/423bd6c1-243e-46cd-a2bc-cd4c8d844c07" TargetMode="External"/><Relationship Id="rId20" Type="http://schemas.openxmlformats.org/officeDocument/2006/relationships/hyperlink" Target="https://epodatelna.justice.cz/ePodatelna/homep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justice.cz/web/obvodni-soud-pro-prahu-2/kontakty" TargetMode="External"/><Relationship Id="rId11" Type="http://schemas.openxmlformats.org/officeDocument/2006/relationships/hyperlink" Target="https://justice.cz/web/obvodni-soud-pro-prahu-2/zakladni-informace?clanek=bankovni-spoje-1" TargetMode="External"/><Relationship Id="rId5" Type="http://schemas.openxmlformats.org/officeDocument/2006/relationships/hyperlink" Target="https://justice.cz/web/obvodni-soud-pro-prahu-2/uredni-hodiny" TargetMode="External"/><Relationship Id="rId15" Type="http://schemas.openxmlformats.org/officeDocument/2006/relationships/hyperlink" Target="https://justice.cz/web/obvodni-soud-pro-prahu-2/zakladni-informace?clanek=zpracovani-a-ochrana-osobnich-udaju-na-os-praha-2-gdpr-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datelna@osoud.pha2.justice.cz" TargetMode="External"/><Relationship Id="rId19" Type="http://schemas.openxmlformats.org/officeDocument/2006/relationships/hyperlink" Target="https://justice.cz/web/obvodni-soud-pro-prahu-2/zakladni-informace-podrobnosti?clanek=vyrocni-zpravy-o-poskytovani-informaci" TargetMode="External"/><Relationship Id="rId4" Type="http://schemas.openxmlformats.org/officeDocument/2006/relationships/hyperlink" Target="https://justice.cz/web/obvodni-soud-pro-prahu-2/zakladni-informace?clanek=organizacni-struktura-obvodniho-soudu-pro-prahu-1" TargetMode="External"/><Relationship Id="rId9" Type="http://schemas.openxmlformats.org/officeDocument/2006/relationships/hyperlink" Target="https://justice.cz/web/obvodni-soud-pro-prahu-2/zakladni-informace?clanek=elektronicka-podatel-1" TargetMode="External"/><Relationship Id="rId14" Type="http://schemas.openxmlformats.org/officeDocument/2006/relationships/hyperlink" Target="https://aplikace.mvcr.cz/sbirka-zakon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Markéta</dc:creator>
  <cp:keywords/>
  <dc:description/>
  <cp:lastModifiedBy>Žofková Markéta</cp:lastModifiedBy>
  <cp:revision>11</cp:revision>
  <cp:lastPrinted>2025-01-13T07:53:00Z</cp:lastPrinted>
  <dcterms:created xsi:type="dcterms:W3CDTF">2025-01-02T10:09:00Z</dcterms:created>
  <dcterms:modified xsi:type="dcterms:W3CDTF">2025-01-13T12:49:00Z</dcterms:modified>
</cp:coreProperties>
</file>