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379A4B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0 (od 1.6.do 30.6.2024)</w:t>
      </w:r>
      <w:r w:rsidR="004E4BB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1341C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653B4EAD"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53725642"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43CC5F8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do 30.6.2024</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2E71FF89"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7956EC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61912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 xml:space="preserve"> </w:t>
      </w:r>
      <w:r w:rsidR="007124B0">
        <w:rPr>
          <w:rFonts w:ascii="Garamond" w:eastAsia="Times New Roman" w:hAnsi="Garamond" w:cs="Times New Roman"/>
          <w:b/>
          <w:sz w:val="20"/>
          <w:szCs w:val="20"/>
          <w:lang w:eastAsia="cs-CZ"/>
        </w:rPr>
        <w:t xml:space="preserve">do 30.6.2024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lastRenderedPageBreak/>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42BAE6C1"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FC25C4">
        <w:rPr>
          <w:rFonts w:ascii="Garamond" w:eastAsia="Times New Roman" w:hAnsi="Garamond" w:cs="Times New Roman"/>
          <w:b/>
          <w:sz w:val="20"/>
          <w:szCs w:val="20"/>
          <w:lang w:eastAsia="cs-CZ"/>
        </w:rPr>
        <w:t>(od 1.6. do 30.6.2024)</w:t>
      </w:r>
      <w:r w:rsidR="004E4BB3"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43F0CA5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proofErr w:type="gramStart"/>
      <w:r w:rsidRPr="00046D6B">
        <w:rPr>
          <w:rFonts w:ascii="Garamond" w:eastAsia="Times New Roman" w:hAnsi="Garamond" w:cs="Times New Roman"/>
          <w:sz w:val="20"/>
          <w:szCs w:val="20"/>
          <w:lang w:eastAsia="cs-CZ"/>
        </w:rPr>
        <w:tab/>
      </w:r>
      <w:r w:rsidR="00293CAF">
        <w:rPr>
          <w:rFonts w:ascii="Garamond" w:eastAsia="Times New Roman" w:hAnsi="Garamond" w:cs="Times New Roman"/>
          <w:b/>
          <w:sz w:val="20"/>
          <w:szCs w:val="20"/>
          <w:lang w:eastAsia="cs-CZ"/>
        </w:rPr>
        <w:t xml:space="preserve"> </w:t>
      </w:r>
      <w:r w:rsidR="00C97BF0">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w:t>
      </w:r>
      <w:proofErr w:type="gramEnd"/>
      <w:r w:rsidRPr="00046D6B">
        <w:rPr>
          <w:rFonts w:ascii="Garamond" w:eastAsia="Times New Roman" w:hAnsi="Garamond" w:cs="Times New Roman"/>
          <w:b/>
          <w:bCs/>
          <w:sz w:val="20"/>
          <w:szCs w:val="20"/>
          <w:lang w:eastAsia="cs-CZ"/>
        </w:rPr>
        <w:t xml:space="preserve">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sidR="00F82EA4">
        <w:rPr>
          <w:rFonts w:ascii="Garamond" w:eastAsia="Times New Roman" w:hAnsi="Garamond" w:cs="Times New Roman"/>
          <w:b/>
          <w:sz w:val="20"/>
          <w:szCs w:val="20"/>
          <w:lang w:eastAsia="cs-CZ"/>
        </w:rPr>
        <w:t xml:space="preserve"> a Mgr. Klárou Klečkovou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C5958D4"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lastRenderedPageBreak/>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lastRenderedPageBreak/>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0EADE1B"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r w:rsidR="00AE70AF">
        <w:rPr>
          <w:rFonts w:ascii="Garamond" w:eastAsia="Times New Roman" w:hAnsi="Garamond" w:cs="Times New Roman"/>
          <w:sz w:val="20"/>
          <w:szCs w:val="20"/>
          <w:lang w:eastAsia="cs-CZ"/>
        </w:rPr>
        <w:t xml:space="preserve"> a Alena Svobodová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86BF85"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r w:rsidR="00AE70AF">
        <w:rPr>
          <w:rFonts w:ascii="Garamond" w:eastAsia="Times New Roman" w:hAnsi="Garamond" w:cs="Times New Roman"/>
          <w:b/>
          <w:sz w:val="20"/>
          <w:szCs w:val="20"/>
          <w:u w:val="single"/>
          <w:lang w:eastAsia="cs-CZ"/>
        </w:rPr>
        <w:t xml:space="preserve"> a Alena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1FEA8B6"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50A7AC44"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509B48C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0443563"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72D2296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1671D86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4F5ADC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D98124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002EAB71"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6E73CE01"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BB2FFDC"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431FFADB"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3CE7851E"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w:t>
      </w:r>
      <w:proofErr w:type="gramStart"/>
      <w:r>
        <w:rPr>
          <w:rFonts w:ascii="Garamond" w:eastAsia="Times New Roman" w:hAnsi="Garamond" w:cs="Times New Roman"/>
          <w:sz w:val="20"/>
          <w:szCs w:val="20"/>
          <w:lang w:eastAsia="cs-CZ"/>
        </w:rPr>
        <w:t>vedoucí  –</w:t>
      </w:r>
      <w:proofErr w:type="gramEnd"/>
      <w:r>
        <w:rPr>
          <w:rFonts w:ascii="Garamond" w:eastAsia="Times New Roman" w:hAnsi="Garamond" w:cs="Times New Roman"/>
          <w:sz w:val="20"/>
          <w:szCs w:val="20"/>
          <w:lang w:eastAsia="cs-CZ"/>
        </w:rPr>
        <w:t xml:space="preserve">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3290" w14:textId="77777777" w:rsidR="00ED7D4C" w:rsidRDefault="00ED7D4C" w:rsidP="00DB0F81">
      <w:pPr>
        <w:spacing w:after="0"/>
      </w:pPr>
      <w:r>
        <w:separator/>
      </w:r>
    </w:p>
  </w:endnote>
  <w:endnote w:type="continuationSeparator" w:id="0">
    <w:p w14:paraId="36A1C704" w14:textId="77777777" w:rsidR="00ED7D4C" w:rsidRDefault="00ED7D4C"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9620" w14:textId="77777777" w:rsidR="00ED7D4C" w:rsidRDefault="00ED7D4C" w:rsidP="00DB0F81">
      <w:pPr>
        <w:spacing w:after="0"/>
      </w:pPr>
      <w:r>
        <w:separator/>
      </w:r>
    </w:p>
  </w:footnote>
  <w:footnote w:type="continuationSeparator" w:id="0">
    <w:p w14:paraId="341B26D8" w14:textId="77777777" w:rsidR="00ED7D4C" w:rsidRDefault="00ED7D4C"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3CFD"/>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47CD"/>
    <w:rsid w:val="00E26494"/>
    <w:rsid w:val="00E31B75"/>
    <w:rsid w:val="00E337F1"/>
    <w:rsid w:val="00E47122"/>
    <w:rsid w:val="00E52B85"/>
    <w:rsid w:val="00E5431F"/>
    <w:rsid w:val="00E64516"/>
    <w:rsid w:val="00E66F74"/>
    <w:rsid w:val="00E71517"/>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14277</Words>
  <Characters>84239</Characters>
  <Application>Microsoft Office Word</Application>
  <DocSecurity>0</DocSecurity>
  <Lines>701</Lines>
  <Paragraphs>196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4</cp:revision>
  <cp:lastPrinted>2023-11-30T07:25:00Z</cp:lastPrinted>
  <dcterms:created xsi:type="dcterms:W3CDTF">2024-05-31T07:43:00Z</dcterms:created>
  <dcterms:modified xsi:type="dcterms:W3CDTF">2024-06-10T07:21:00Z</dcterms:modified>
</cp:coreProperties>
</file>