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F4A6" w14:textId="77777777" w:rsidR="00FD6C5E" w:rsidRPr="00FD6C5E" w:rsidRDefault="00FD6C5E" w:rsidP="00FD6C5E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  <w14:ligatures w14:val="none"/>
        </w:rPr>
      </w:pPr>
      <w:r w:rsidRPr="00FD6C5E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  <w14:ligatures w14:val="none"/>
        </w:rPr>
        <w:t>Obvodní soud pro Prahu 2</w:t>
      </w:r>
    </w:p>
    <w:p w14:paraId="2E4A395B" w14:textId="77777777" w:rsidR="00FD6C5E" w:rsidRPr="00FD6C5E" w:rsidRDefault="00FD6C5E" w:rsidP="00FD6C5E">
      <w:pPr>
        <w:spacing w:after="200" w:line="276" w:lineRule="auto"/>
        <w:contextualSpacing/>
        <w:jc w:val="center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Francouzská </w:t>
      </w:r>
      <w:proofErr w:type="gramStart"/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>19,  120</w:t>
      </w:r>
      <w:proofErr w:type="gramEnd"/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 00  Praha 2, telefon: 221 510 111</w:t>
      </w:r>
    </w:p>
    <w:p w14:paraId="7087229C" w14:textId="77777777" w:rsidR="00FD6C5E" w:rsidRPr="00FD6C5E" w:rsidRDefault="00FD6C5E" w:rsidP="00FD6C5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FD6C5E">
          <w:rPr>
            <w:rFonts w:ascii="Garamond" w:eastAsia="Calibri" w:hAnsi="Garamond" w:cs="Times New Roman"/>
            <w:color w:val="0000FF"/>
            <w:kern w:val="0"/>
            <w:sz w:val="24"/>
            <w:szCs w:val="24"/>
            <w:u w:val="single"/>
            <w14:ligatures w14:val="none"/>
          </w:rPr>
          <w:t>podatelna@osoud.pha2.justice.cz</w:t>
        </w:r>
      </w:hyperlink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 </w:t>
      </w:r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ab/>
      </w:r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ab/>
      </w:r>
      <w:r w:rsidRPr="00FD6C5E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ab/>
        <w:t xml:space="preserve">datová schránka: </w:t>
      </w:r>
      <w:r w:rsidRPr="00FD6C5E">
        <w:rPr>
          <w:rFonts w:ascii="Garamond" w:eastAsia="Calibri" w:hAnsi="Garamond" w:cs="Arial"/>
          <w:color w:val="030303"/>
          <w:kern w:val="0"/>
          <w:sz w:val="24"/>
          <w:szCs w:val="24"/>
          <w14:ligatures w14:val="none"/>
        </w:rPr>
        <w:t>eksab3e</w:t>
      </w:r>
    </w:p>
    <w:p w14:paraId="0B47B09D" w14:textId="77777777" w:rsidR="00FD6C5E" w:rsidRPr="00FD6C5E" w:rsidRDefault="00FD6C5E" w:rsidP="00FD6C5E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</w:pPr>
    </w:p>
    <w:p w14:paraId="584F26EA" w14:textId="470FD332" w:rsidR="00FD6C5E" w:rsidRPr="00FD6C5E" w:rsidRDefault="00FD6C5E" w:rsidP="00FD6C5E">
      <w:pPr>
        <w:spacing w:after="200" w:line="276" w:lineRule="auto"/>
        <w:contextualSpacing/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</w:pPr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40 </w:t>
      </w:r>
      <w:proofErr w:type="spellStart"/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Spr</w:t>
      </w:r>
      <w:proofErr w:type="spellEnd"/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  </w:t>
      </w:r>
      <w:r w:rsidR="00BF565D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   </w:t>
      </w:r>
      <w:r w:rsidR="00215757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124</w:t>
      </w:r>
      <w:r w:rsidR="00BF565D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 </w:t>
      </w:r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/2025                  </w:t>
      </w:r>
    </w:p>
    <w:p w14:paraId="6F94BB77" w14:textId="7CEDC0EA" w:rsidR="00FD6C5E" w:rsidRPr="00FD6C5E" w:rsidRDefault="00FD6C5E" w:rsidP="00FD6C5E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</w:pPr>
      <w:r w:rsidRPr="00FD6C5E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 xml:space="preserve">Změna č. </w:t>
      </w:r>
      <w:r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8</w:t>
      </w:r>
    </w:p>
    <w:p w14:paraId="37E8C9FA" w14:textId="77777777" w:rsidR="00FD6C5E" w:rsidRPr="00FD6C5E" w:rsidRDefault="00FD6C5E" w:rsidP="00FD6C5E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</w:pPr>
      <w:r w:rsidRPr="00FD6C5E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rozvrhu práce pro rok 2025</w:t>
      </w:r>
    </w:p>
    <w:p w14:paraId="78995E7F" w14:textId="77777777" w:rsidR="00FD6C5E" w:rsidRPr="00FD6C5E" w:rsidRDefault="00FD6C5E" w:rsidP="00FD6C5E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</w:pPr>
    </w:p>
    <w:p w14:paraId="2ECB36CF" w14:textId="3197BD0E" w:rsidR="00FD6C5E" w:rsidRPr="00FD6C5E" w:rsidRDefault="00FD6C5E" w:rsidP="00FD6C5E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</w:pPr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s účinností od 1. </w:t>
      </w:r>
      <w:r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srpna</w:t>
      </w:r>
      <w:r w:rsidRPr="00FD6C5E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 2025</w:t>
      </w:r>
    </w:p>
    <w:p w14:paraId="450262AA" w14:textId="77777777" w:rsidR="00FD6C5E" w:rsidRPr="00FD6C5E" w:rsidRDefault="00FD6C5E" w:rsidP="00FD6C5E">
      <w:pPr>
        <w:spacing w:after="0" w:line="240" w:lineRule="auto"/>
        <w:contextualSpacing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</w:p>
    <w:p w14:paraId="747B1718" w14:textId="77777777" w:rsidR="00FD6C5E" w:rsidRPr="00FD6C5E" w:rsidRDefault="00FD6C5E" w:rsidP="00FD6C5E">
      <w:pPr>
        <w:numPr>
          <w:ilvl w:val="0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14:ligatures w14:val="none"/>
        </w:rPr>
        <w:t>Správa soudu:</w:t>
      </w:r>
    </w:p>
    <w:p w14:paraId="3131F80B" w14:textId="77777777" w:rsidR="00FD6C5E" w:rsidRPr="00FD6C5E" w:rsidRDefault="00FD6C5E" w:rsidP="00FD6C5E">
      <w:pPr>
        <w:spacing w:after="0" w:line="240" w:lineRule="auto"/>
        <w:ind w:left="1080"/>
        <w:contextualSpacing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5058F71" w14:textId="22110F63" w:rsidR="00FD6C5E" w:rsidRPr="00FD6C5E" w:rsidRDefault="00FD6C5E" w:rsidP="00FD6C5E">
      <w:pPr>
        <w:numPr>
          <w:ilvl w:val="0"/>
          <w:numId w:val="5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Mgr. Barbora Pathyová</w:t>
      </w:r>
      <w:r w:rsidRPr="00FD6C5E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, asistentka soudce, působí jako referentka poskytování informací dle z. č. 106/1999 Sb. 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namísto</w:t>
      </w:r>
      <w:r w:rsidR="009B3FB8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JUDr.</w:t>
      </w:r>
      <w:r w:rsidRPr="005068CB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Daniely Zdražilové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,</w:t>
      </w:r>
      <w:r w:rsidRPr="00FD6C5E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asistentky soudce.</w:t>
      </w:r>
    </w:p>
    <w:p w14:paraId="5BC176FC" w14:textId="77777777" w:rsidR="00FD6C5E" w:rsidRPr="00FD6C5E" w:rsidRDefault="00FD6C5E" w:rsidP="00FD6C5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7FE9204" w14:textId="77777777" w:rsidR="00FD6C5E" w:rsidRPr="00FD6C5E" w:rsidRDefault="00FD6C5E" w:rsidP="00FD6C5E">
      <w:pPr>
        <w:numPr>
          <w:ilvl w:val="0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:u w:val="single"/>
          <w14:ligatures w14:val="none"/>
        </w:rPr>
        <w:t>Občanskoprávní úsek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:</w:t>
      </w:r>
    </w:p>
    <w:p w14:paraId="6C346F94" w14:textId="77777777" w:rsidR="00FD6C5E" w:rsidRPr="00FD6C5E" w:rsidRDefault="00FD6C5E" w:rsidP="00FD6C5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32A96F96" w14:textId="7C6951A6" w:rsidR="00FD6C5E" w:rsidRPr="00FD6C5E" w:rsidRDefault="00FD6C5E" w:rsidP="00FD6C5E">
      <w:pPr>
        <w:numPr>
          <w:ilvl w:val="0"/>
          <w:numId w:val="3"/>
        </w:numPr>
        <w:spacing w:before="120" w:after="240" w:line="240" w:lineRule="auto"/>
        <w:ind w:hanging="720"/>
        <w:contextualSpacing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  <w:r w:rsidRPr="00FD6C5E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 senátu 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22 </w:t>
      </w:r>
      <w:proofErr w:type="gramStart"/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C – 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20</w:t>
      </w:r>
      <w:proofErr w:type="gramEnd"/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% </w:t>
      </w:r>
      <w:r w:rsidRPr="00FD6C5E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celkového nápadu připadajícího na jeden senát v rejstříku C, vyjma určených specializací v jiných senátech.</w:t>
      </w:r>
    </w:p>
    <w:p w14:paraId="292A99D9" w14:textId="77777777" w:rsidR="00FD6C5E" w:rsidRPr="00FD6C5E" w:rsidRDefault="00FD6C5E" w:rsidP="00FD6C5E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</w:p>
    <w:p w14:paraId="625CD0D4" w14:textId="186886E0" w:rsidR="00FD6C5E" w:rsidRDefault="00FD6C5E" w:rsidP="00FD6C5E">
      <w:pPr>
        <w:numPr>
          <w:ilvl w:val="0"/>
          <w:numId w:val="3"/>
        </w:numPr>
        <w:spacing w:before="120" w:after="240" w:line="240" w:lineRule="auto"/>
        <w:ind w:hanging="720"/>
        <w:contextualSpacing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  <w:r w:rsidRPr="00FD6C5E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 senátu 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22 EVC – 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20</w:t>
      </w:r>
      <w:r w:rsidRPr="00FD6C5E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%</w:t>
      </w:r>
      <w:r w:rsidRPr="00FD6C5E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 celkového nápadu návrhů na vydání evropského platebního rozkazu připadající na jeden senát v rejstříku EVC. </w:t>
      </w:r>
    </w:p>
    <w:p w14:paraId="67C3F3A1" w14:textId="77777777" w:rsidR="00FD6C5E" w:rsidRDefault="00FD6C5E" w:rsidP="009B3FB8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FD30A03" w14:textId="72752D6D" w:rsidR="00FD6C5E" w:rsidRPr="00D74128" w:rsidRDefault="00FD6C5E" w:rsidP="00FD6C5E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C75584">
        <w:rPr>
          <w:rFonts w:ascii="Garamond" w:eastAsia="Times New Roman" w:hAnsi="Garamond" w:cs="Times New Roman"/>
          <w:sz w:val="24"/>
          <w:szCs w:val="24"/>
        </w:rPr>
        <w:t xml:space="preserve">Ve věcech vyřizovaných soudkyní 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>Mgr.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Karolínou Bednářovou </w:t>
      </w:r>
      <w:r w:rsidRPr="00FD6C5E">
        <w:rPr>
          <w:rFonts w:ascii="Garamond" w:eastAsia="Times New Roman" w:hAnsi="Garamond" w:cs="Times New Roman"/>
          <w:sz w:val="24"/>
          <w:szCs w:val="24"/>
        </w:rPr>
        <w:t>ne</w:t>
      </w:r>
      <w:r w:rsidRPr="00C75584">
        <w:rPr>
          <w:rFonts w:ascii="Garamond" w:eastAsia="Times New Roman" w:hAnsi="Garamond" w:cs="Times New Roman"/>
          <w:sz w:val="24"/>
          <w:szCs w:val="24"/>
        </w:rPr>
        <w:t>působí asistent</w:t>
      </w:r>
      <w:r>
        <w:rPr>
          <w:rFonts w:ascii="Garamond" w:eastAsia="Times New Roman" w:hAnsi="Garamond" w:cs="Times New Roman"/>
          <w:sz w:val="24"/>
          <w:szCs w:val="24"/>
        </w:rPr>
        <w:t>ka</w:t>
      </w:r>
      <w:r w:rsidRPr="00C75584">
        <w:rPr>
          <w:rFonts w:ascii="Garamond" w:eastAsia="Times New Roman" w:hAnsi="Garamond" w:cs="Times New Roman"/>
          <w:sz w:val="24"/>
          <w:szCs w:val="24"/>
        </w:rPr>
        <w:t xml:space="preserve"> soudce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JUDr. Daniela Zdražilová.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61112ADB" w14:textId="091A522F" w:rsidR="00D74128" w:rsidRPr="007654AB" w:rsidRDefault="00D74128" w:rsidP="00D74128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C75584">
        <w:rPr>
          <w:rFonts w:ascii="Garamond" w:eastAsia="Times New Roman" w:hAnsi="Garamond" w:cs="Times New Roman"/>
          <w:sz w:val="24"/>
          <w:szCs w:val="24"/>
        </w:rPr>
        <w:t xml:space="preserve">Ve věcech vyřizovaných soudkyní 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>Mgr.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Nikolou Plevkovou </w:t>
      </w:r>
      <w:r w:rsidRPr="00FD6C5E">
        <w:rPr>
          <w:rFonts w:ascii="Garamond" w:eastAsia="Times New Roman" w:hAnsi="Garamond" w:cs="Times New Roman"/>
          <w:sz w:val="24"/>
          <w:szCs w:val="24"/>
        </w:rPr>
        <w:t>ne</w:t>
      </w:r>
      <w:r w:rsidRPr="00C75584">
        <w:rPr>
          <w:rFonts w:ascii="Garamond" w:eastAsia="Times New Roman" w:hAnsi="Garamond" w:cs="Times New Roman"/>
          <w:sz w:val="24"/>
          <w:szCs w:val="24"/>
        </w:rPr>
        <w:t>působí asistent</w:t>
      </w:r>
      <w:r>
        <w:rPr>
          <w:rFonts w:ascii="Garamond" w:eastAsia="Times New Roman" w:hAnsi="Garamond" w:cs="Times New Roman"/>
          <w:sz w:val="24"/>
          <w:szCs w:val="24"/>
        </w:rPr>
        <w:t>ka</w:t>
      </w:r>
      <w:r w:rsidRPr="00C75584">
        <w:rPr>
          <w:rFonts w:ascii="Garamond" w:eastAsia="Times New Roman" w:hAnsi="Garamond" w:cs="Times New Roman"/>
          <w:sz w:val="24"/>
          <w:szCs w:val="24"/>
        </w:rPr>
        <w:t xml:space="preserve"> soudce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JUDr. Daniela Zdražilová.</w:t>
      </w:r>
      <w:r w:rsidRPr="00C7558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26CF0119" w14:textId="61AA572B" w:rsidR="00FD6C5E" w:rsidRDefault="00D74128" w:rsidP="00FD6C5E">
      <w:pPr>
        <w:numPr>
          <w:ilvl w:val="0"/>
          <w:numId w:val="3"/>
        </w:numPr>
        <w:spacing w:before="120" w:after="240" w:line="240" w:lineRule="auto"/>
        <w:ind w:hanging="720"/>
        <w:contextualSpacing/>
        <w:jc w:val="both"/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V senátu </w:t>
      </w:r>
      <w:r w:rsidRPr="00D74128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30 Cd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 je </w:t>
      </w:r>
      <w:r w:rsidRPr="00D74128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prvním zástupem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 Mgr. </w:t>
      </w:r>
      <w:r w:rsidR="005068CB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Pavlíny </w:t>
      </w:r>
      <w:proofErr w:type="spellStart"/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Lukašíkové</w:t>
      </w:r>
      <w:proofErr w:type="spellEnd"/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, asistentky soudce, </w:t>
      </w:r>
      <w:r w:rsidRPr="00D74128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JUDr.</w:t>
      </w:r>
      <w:r w:rsidR="005068CB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 </w:t>
      </w:r>
      <w:r w:rsidRPr="00D74128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Elena Bláhová</w:t>
      </w:r>
      <w:r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, </w:t>
      </w:r>
      <w:r w:rsidRPr="00D74128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asistentka soudce</w:t>
      </w:r>
      <w:r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C2DE523" w14:textId="77777777" w:rsidR="005068CB" w:rsidRDefault="005068CB" w:rsidP="005068CB">
      <w:pPr>
        <w:spacing w:before="120" w:after="240" w:line="240" w:lineRule="auto"/>
        <w:ind w:left="720"/>
        <w:contextualSpacing/>
        <w:jc w:val="both"/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</w:pPr>
    </w:p>
    <w:p w14:paraId="57B4C1BC" w14:textId="4FE8E7B1" w:rsidR="00FB0ED2" w:rsidRPr="00C24CC2" w:rsidRDefault="005068CB" w:rsidP="00C24CC2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9B3FB8">
        <w:rPr>
          <w:rFonts w:ascii="Garamond" w:eastAsia="Times New Roman" w:hAnsi="Garamond" w:cs="Times New Roman"/>
          <w:b/>
          <w:sz w:val="24"/>
          <w:szCs w:val="24"/>
        </w:rPr>
        <w:t>Prvním zástupem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EE3F94">
        <w:rPr>
          <w:rFonts w:ascii="Garamond" w:eastAsia="Times New Roman" w:hAnsi="Garamond" w:cs="Times New Roman"/>
          <w:b/>
          <w:sz w:val="24"/>
          <w:szCs w:val="24"/>
        </w:rPr>
        <w:t>Bc. Ireny Chaloupkové</w:t>
      </w:r>
      <w:r w:rsidR="009B3FB8" w:rsidRPr="00EE3F94">
        <w:rPr>
          <w:rFonts w:ascii="Garamond" w:eastAsia="Times New Roman" w:hAnsi="Garamond" w:cs="Times New Roman"/>
          <w:b/>
          <w:sz w:val="24"/>
          <w:szCs w:val="24"/>
        </w:rPr>
        <w:t>, vyšší soudní úřednice</w:t>
      </w:r>
      <w:r w:rsidR="009B3FB8" w:rsidRPr="00EE3F94">
        <w:rPr>
          <w:rFonts w:ascii="Garamond" w:eastAsia="Times New Roman" w:hAnsi="Garamond" w:cs="Times New Roman"/>
          <w:bCs/>
          <w:sz w:val="24"/>
          <w:szCs w:val="24"/>
        </w:rPr>
        <w:t>,</w:t>
      </w:r>
      <w:r w:rsidR="009B3FB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pro činění úkonů dle z.</w:t>
      </w:r>
      <w:r w:rsidR="00EE3F94">
        <w:rPr>
          <w:rFonts w:ascii="Garamond" w:eastAsia="Times New Roman" w:hAnsi="Garamond" w:cs="Times New Roman"/>
          <w:bCs/>
          <w:sz w:val="24"/>
          <w:szCs w:val="24"/>
        </w:rPr>
        <w:t> </w:t>
      </w:r>
      <w:r>
        <w:rPr>
          <w:rFonts w:ascii="Garamond" w:eastAsia="Times New Roman" w:hAnsi="Garamond" w:cs="Times New Roman"/>
          <w:bCs/>
          <w:sz w:val="24"/>
          <w:szCs w:val="24"/>
        </w:rPr>
        <w:t>č. 121/2008 Sb. v opatrovnických věcech týkajících se nezletilých dětí ve </w:t>
      </w:r>
      <w:r w:rsidRPr="00A0045C">
        <w:rPr>
          <w:rFonts w:ascii="Garamond" w:eastAsia="Times New Roman" w:hAnsi="Garamond" w:cs="Times New Roman"/>
          <w:bCs/>
          <w:sz w:val="24"/>
          <w:szCs w:val="24"/>
        </w:rPr>
        <w:t>věcech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v nichž působí soudkyně </w:t>
      </w:r>
      <w:r w:rsidRPr="009B3FB8">
        <w:rPr>
          <w:rFonts w:ascii="Garamond" w:eastAsia="Times New Roman" w:hAnsi="Garamond"/>
          <w:sz w:val="24"/>
          <w:szCs w:val="24"/>
          <w:lang w:eastAsia="cs-CZ"/>
        </w:rPr>
        <w:t>Mgr.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 xml:space="preserve"> Blanka Vernerová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a to v senátech 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>21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P, 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>21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>,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15 P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 13 P,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a Mgr.</w:t>
      </w:r>
      <w:r w:rsidR="00EE3F94">
        <w:rPr>
          <w:rFonts w:ascii="Garamond" w:eastAsia="Times New Roman" w:hAnsi="Garamond"/>
          <w:sz w:val="24"/>
          <w:szCs w:val="24"/>
          <w:lang w:eastAsia="cs-CZ"/>
        </w:rPr>
        <w:t> 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Petra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Fischerová,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to v senátech 31 P a 31 </w:t>
      </w:r>
      <w:proofErr w:type="spellStart"/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 xml:space="preserve">je 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Barbora Pathyová,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asisten</w:t>
      </w:r>
      <w:r w:rsidR="009B3FB8">
        <w:rPr>
          <w:rFonts w:ascii="Garamond" w:eastAsia="Times New Roman" w:hAnsi="Garamond"/>
          <w:sz w:val="24"/>
          <w:szCs w:val="24"/>
          <w:lang w:eastAsia="cs-CZ"/>
        </w:rPr>
        <w:t>t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ka soudce</w:t>
      </w:r>
      <w:r w:rsidR="009B3FB8">
        <w:rPr>
          <w:rFonts w:ascii="Garamond" w:eastAsia="Times New Roman" w:hAnsi="Garamond"/>
          <w:sz w:val="24"/>
          <w:szCs w:val="24"/>
          <w:lang w:eastAsia="cs-CZ"/>
        </w:rPr>
        <w:t>,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druhým zástupem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je</w:t>
      </w:r>
      <w:r w:rsidR="009B3FB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Petra Sojková, </w:t>
      </w:r>
      <w:r w:rsidR="009B3FB8" w:rsidRPr="009B3FB8">
        <w:rPr>
          <w:rFonts w:ascii="Garamond" w:eastAsia="Times New Roman" w:hAnsi="Garamond"/>
          <w:sz w:val="24"/>
          <w:szCs w:val="24"/>
          <w:lang w:eastAsia="cs-CZ"/>
        </w:rPr>
        <w:t>vyšší soudní úřednice.</w:t>
      </w:r>
    </w:p>
    <w:p w14:paraId="4B933892" w14:textId="5ED40E1A" w:rsidR="00893214" w:rsidRPr="00C24CC2" w:rsidRDefault="00FB0ED2" w:rsidP="00C24CC2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 senátu </w:t>
      </w:r>
      <w:r w:rsidRPr="00B812C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16 L, 161 L, 162 L, 163 L, 21 L, 211 </w:t>
      </w:r>
      <w:proofErr w:type="gramStart"/>
      <w:r w:rsidRPr="00B812C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L ,</w:t>
      </w:r>
      <w:proofErr w:type="gramEnd"/>
      <w:r w:rsidRPr="00B812C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212 L, 213 L, 311 L, 312 L, 313 L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="00DE0E95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="00EE7C5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ve věcech úkonů prováděných vy</w:t>
      </w:r>
      <w:r w:rsidR="00B812C3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šš</w:t>
      </w:r>
      <w:r w:rsidR="00EE7C5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ím soudním úředníkem či asistentem soudce se v prvním zástupu vzájemně zastupují Ivana Zíková, vyšší soudní úřednice a Mgr. Pavla Kindlová, vyšší soudní úřednice. Druhým zástupem je Bc. Irena Chaloupková, třetím zástupem Petra Sojková a </w:t>
      </w:r>
      <w:r w:rsidR="0021575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4</w:t>
      </w:r>
      <w:r w:rsidR="00EE7C56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. zástupem asistenti soudců dle abecedního pořadí. </w:t>
      </w:r>
    </w:p>
    <w:p w14:paraId="08E17006" w14:textId="1012EE28" w:rsidR="00893214" w:rsidRDefault="00785509" w:rsidP="009B3FB8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Při </w:t>
      </w:r>
      <w:r w:rsidRPr="00785509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doručování soudních písemností ve věcech L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, mimo budovu soudu, tj. zejména do zdravotních ústavů a zařízení sociálních služeb je </w:t>
      </w:r>
      <w:r w:rsidRPr="005F0BD2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5. zástupem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namísto JUDr. Daniely Zdražilové </w:t>
      </w:r>
      <w:r w:rsidRPr="00785509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Mgr. Jindřich Sikora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. </w:t>
      </w:r>
    </w:p>
    <w:p w14:paraId="3E000AA7" w14:textId="77777777" w:rsidR="00E469D9" w:rsidRDefault="00E469D9" w:rsidP="00E469D9">
      <w:pPr>
        <w:pStyle w:val="Odstavecseseznamem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E1326D0" w14:textId="21925E3E" w:rsidR="00534E80" w:rsidRPr="00C24CC2" w:rsidRDefault="00F30A16" w:rsidP="00C24CC2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lastRenderedPageBreak/>
        <w:t xml:space="preserve">Při </w:t>
      </w:r>
      <w:r w:rsidRPr="00F30A1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realizaci úkonů dle </w:t>
      </w:r>
      <w:proofErr w:type="spellStart"/>
      <w:r w:rsidRPr="00F30A1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zák.č</w:t>
      </w:r>
      <w:proofErr w:type="spellEnd"/>
      <w:r w:rsidRPr="00F30A16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. 121/2008 Sb. v opatrovnických věcech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(mimo věci týkajících se nezletilých dětí</w:t>
      </w:r>
      <w:r w:rsidR="00C24CC2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)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je třetím zástupem Petry Sojkové, vyšší soudní úřednice, Mgr. </w:t>
      </w:r>
      <w:r w:rsidRPr="00A16231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Anna Kosíková, asistentka soudce</w:t>
      </w:r>
      <w:r w:rsidR="00C24CC2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.</w:t>
      </w:r>
    </w:p>
    <w:p w14:paraId="080DA22C" w14:textId="3796C07C" w:rsidR="00534E80" w:rsidRPr="009B3FB8" w:rsidRDefault="00655E25" w:rsidP="009B3FB8">
      <w:pPr>
        <w:numPr>
          <w:ilvl w:val="0"/>
          <w:numId w:val="3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Při </w:t>
      </w:r>
      <w:r w:rsidRPr="00266BEF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realizaci výkonu rozhodnutí podle § 497 </w:t>
      </w:r>
      <w:proofErr w:type="spellStart"/>
      <w:r w:rsidRPr="00266BEF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z.ř.s</w:t>
      </w:r>
      <w:proofErr w:type="spellEnd"/>
      <w:r w:rsidRPr="00266BEF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. a § 500 a násl. </w:t>
      </w:r>
      <w:proofErr w:type="spellStart"/>
      <w:r w:rsidRPr="00266BEF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z.ř.s</w:t>
      </w:r>
      <w:proofErr w:type="spellEnd"/>
      <w:r w:rsidRPr="00266BEF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 pracovní době je prvním zástupem Mgr. O</w:t>
      </w:r>
      <w:r w:rsidR="00273EAF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ks</w:t>
      </w: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any </w:t>
      </w:r>
      <w:proofErr w:type="spellStart"/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Zomčakové</w:t>
      </w:r>
      <w:proofErr w:type="spellEnd"/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, vyšší soudní úřednice Bc. Irena Chaloupková, vyšší soudní úřednice. Druhým zástupem je Petra Sojková, vyšší soudní úřednice, třetím zástupem je </w:t>
      </w:r>
      <w:r w:rsidR="00DC3608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Luděk Fišer, vyšší soudní úředník</w:t>
      </w:r>
      <w:r w:rsidR="000972B0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, čtvrtým zástupem je Ivana Zíková, vyšší soudní úřednice, pátým zástupem je </w:t>
      </w:r>
      <w:r w:rsidR="0010611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Olga Blažková. </w:t>
      </w:r>
    </w:p>
    <w:p w14:paraId="508137D8" w14:textId="77777777" w:rsidR="009B3FB8" w:rsidRDefault="009B3FB8" w:rsidP="009B3FB8">
      <w:pPr>
        <w:pStyle w:val="Odstavecseseznamem"/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</w:pPr>
    </w:p>
    <w:p w14:paraId="36B81EC5" w14:textId="438431B1" w:rsidR="009B3FB8" w:rsidRDefault="009B3FB8" w:rsidP="009B3FB8">
      <w:pPr>
        <w:spacing w:before="120" w:after="24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  <w:r w:rsidRPr="009B3FB8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Změna rozvrhu práce je odůvodněna ukončením pracovního poměru JUDr. Daniely Zdražilové</w:t>
      </w:r>
      <w:r w:rsidR="001A7A33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 xml:space="preserve">, asistentky </w:t>
      </w:r>
      <w:r w:rsidR="00273EAF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soudce</w:t>
      </w:r>
      <w:r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.</w:t>
      </w:r>
    </w:p>
    <w:p w14:paraId="1750096F" w14:textId="77777777" w:rsidR="009B3FB8" w:rsidRPr="009B3FB8" w:rsidRDefault="009B3FB8" w:rsidP="009B3FB8">
      <w:pPr>
        <w:spacing w:before="120" w:after="24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</w:p>
    <w:p w14:paraId="5D018720" w14:textId="095855D6" w:rsidR="009B3FB8" w:rsidRPr="009B3FB8" w:rsidRDefault="009B3FB8" w:rsidP="009B3FB8">
      <w:pPr>
        <w:spacing w:before="120" w:after="120" w:line="240" w:lineRule="atLeast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9B3FB8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Praha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73EAF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17</w:t>
      </w:r>
      <w:r w:rsidR="00E647E6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.</w:t>
      </w:r>
      <w:proofErr w:type="gramEnd"/>
      <w:r w:rsidR="00E647E6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B3FB8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če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rvence</w:t>
      </w:r>
      <w:r w:rsidRPr="009B3FB8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2025</w:t>
      </w:r>
    </w:p>
    <w:p w14:paraId="1EA9C2F9" w14:textId="77777777" w:rsidR="009B3FB8" w:rsidRPr="009B3FB8" w:rsidRDefault="009B3FB8" w:rsidP="009B3FB8">
      <w:pPr>
        <w:spacing w:before="120" w:after="120" w:line="240" w:lineRule="atLeast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71A996F5" w14:textId="77777777" w:rsidR="009B3FB8" w:rsidRPr="009B3FB8" w:rsidRDefault="009B3FB8" w:rsidP="009B3FB8">
      <w:pPr>
        <w:spacing w:before="120" w:after="120" w:line="240" w:lineRule="atLeast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9B3FB8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Mgr. Magdaléna Kubrychtová</w:t>
      </w:r>
    </w:p>
    <w:p w14:paraId="1211204E" w14:textId="77777777" w:rsidR="009B3FB8" w:rsidRPr="009B3FB8" w:rsidRDefault="009B3FB8" w:rsidP="009B3FB8">
      <w:pPr>
        <w:spacing w:before="120" w:after="120" w:line="240" w:lineRule="atLeast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9B3FB8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předsedkyně soudu</w:t>
      </w:r>
    </w:p>
    <w:p w14:paraId="5460F552" w14:textId="77777777" w:rsidR="009B3FB8" w:rsidRPr="00FD6C5E" w:rsidRDefault="009B3FB8" w:rsidP="009B3FB8">
      <w:pPr>
        <w:spacing w:before="120" w:after="240" w:line="240" w:lineRule="auto"/>
        <w:jc w:val="both"/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</w:pPr>
    </w:p>
    <w:p w14:paraId="27A48BAA" w14:textId="77777777" w:rsidR="005537B4" w:rsidRPr="00D74128" w:rsidRDefault="005537B4">
      <w:pPr>
        <w:rPr>
          <w:b/>
        </w:rPr>
      </w:pPr>
    </w:p>
    <w:sectPr w:rsidR="005537B4" w:rsidRPr="00D7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F6885"/>
    <w:multiLevelType w:val="hybridMultilevel"/>
    <w:tmpl w:val="D60AE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0815"/>
    <w:multiLevelType w:val="hybridMultilevel"/>
    <w:tmpl w:val="95B84AC4"/>
    <w:lvl w:ilvl="0" w:tplc="4EF0A7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8310">
    <w:abstractNumId w:val="3"/>
  </w:num>
  <w:num w:numId="2" w16cid:durableId="72364784">
    <w:abstractNumId w:val="2"/>
  </w:num>
  <w:num w:numId="3" w16cid:durableId="511603118">
    <w:abstractNumId w:val="0"/>
  </w:num>
  <w:num w:numId="4" w16cid:durableId="142820067">
    <w:abstractNumId w:val="1"/>
  </w:num>
  <w:num w:numId="5" w16cid:durableId="1507211081">
    <w:abstractNumId w:val="5"/>
  </w:num>
  <w:num w:numId="6" w16cid:durableId="1306855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5E"/>
    <w:rsid w:val="000972B0"/>
    <w:rsid w:val="000F7629"/>
    <w:rsid w:val="00106117"/>
    <w:rsid w:val="001A7A33"/>
    <w:rsid w:val="001C1547"/>
    <w:rsid w:val="00215757"/>
    <w:rsid w:val="00243B15"/>
    <w:rsid w:val="00266BEF"/>
    <w:rsid w:val="00273EAF"/>
    <w:rsid w:val="00413160"/>
    <w:rsid w:val="004E3570"/>
    <w:rsid w:val="005068CB"/>
    <w:rsid w:val="00534E80"/>
    <w:rsid w:val="005537B4"/>
    <w:rsid w:val="005F0BD2"/>
    <w:rsid w:val="00655E25"/>
    <w:rsid w:val="00785509"/>
    <w:rsid w:val="00893214"/>
    <w:rsid w:val="0095569E"/>
    <w:rsid w:val="009A50F4"/>
    <w:rsid w:val="009B3FB8"/>
    <w:rsid w:val="00A16231"/>
    <w:rsid w:val="00B812C3"/>
    <w:rsid w:val="00BF565D"/>
    <w:rsid w:val="00C24CC2"/>
    <w:rsid w:val="00D74128"/>
    <w:rsid w:val="00DC3608"/>
    <w:rsid w:val="00DC36FA"/>
    <w:rsid w:val="00DE0E95"/>
    <w:rsid w:val="00E469D9"/>
    <w:rsid w:val="00E54793"/>
    <w:rsid w:val="00E647E6"/>
    <w:rsid w:val="00EC6CF5"/>
    <w:rsid w:val="00EE3F94"/>
    <w:rsid w:val="00EE7C56"/>
    <w:rsid w:val="00F30A16"/>
    <w:rsid w:val="00FB0ED2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A913"/>
  <w15:chartTrackingRefBased/>
  <w15:docId w15:val="{832ADB65-46D4-47C0-BFD0-59FDA6F4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C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C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C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6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6C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C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6C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6C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6C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6C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6C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6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6C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C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6C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C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6C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6C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2025-07-31T12:41:00Z</cp:lastPrinted>
  <dcterms:created xsi:type="dcterms:W3CDTF">2025-07-31T12:42:00Z</dcterms:created>
  <dcterms:modified xsi:type="dcterms:W3CDTF">2025-07-31T12:42:00Z</dcterms:modified>
</cp:coreProperties>
</file>