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203E388C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8911F0">
        <w:rPr>
          <w:rFonts w:ascii="Garamond" w:hAnsi="Garamond"/>
        </w:rPr>
        <w:t>383</w:t>
      </w:r>
      <w:r w:rsidR="00203A33">
        <w:rPr>
          <w:rFonts w:ascii="Garamond" w:hAnsi="Garamond"/>
        </w:rPr>
        <w:t>/202</w:t>
      </w:r>
      <w:r w:rsidR="008911F0">
        <w:rPr>
          <w:rFonts w:ascii="Garamond" w:hAnsi="Garamond"/>
        </w:rPr>
        <w:t>5</w:t>
      </w:r>
    </w:p>
    <w:p w14:paraId="72EED28D" w14:textId="77777777" w:rsidR="00186294" w:rsidRDefault="00186294" w:rsidP="00186294"/>
    <w:p w14:paraId="4F105A57" w14:textId="0397CF01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CC0C43">
        <w:rPr>
          <w:rFonts w:ascii="Garamond" w:hAnsi="Garamond"/>
          <w:b/>
          <w:bCs/>
          <w:sz w:val="28"/>
          <w:szCs w:val="28"/>
        </w:rPr>
        <w:t>2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E1CA5C1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8911F0">
        <w:rPr>
          <w:rFonts w:ascii="Garamond" w:hAnsi="Garamond"/>
          <w:b/>
          <w:bCs/>
          <w:sz w:val="28"/>
          <w:szCs w:val="28"/>
        </w:rPr>
        <w:t>6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3B73687B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8911F0">
        <w:rPr>
          <w:rFonts w:ascii="Garamond" w:hAnsi="Garamond"/>
          <w:bCs/>
        </w:rPr>
        <w:t>6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CC0C43">
        <w:rPr>
          <w:rFonts w:ascii="Garamond" w:hAnsi="Garamond"/>
          <w:b/>
          <w:bCs/>
        </w:rPr>
        <w:t>26</w:t>
      </w:r>
      <w:r>
        <w:rPr>
          <w:rFonts w:ascii="Garamond" w:hAnsi="Garamond"/>
          <w:b/>
          <w:bCs/>
        </w:rPr>
        <w:t>. </w:t>
      </w:r>
      <w:r w:rsidR="008911F0">
        <w:rPr>
          <w:rFonts w:ascii="Garamond" w:hAnsi="Garamond"/>
          <w:b/>
          <w:bCs/>
        </w:rPr>
        <w:t>února</w:t>
      </w:r>
      <w:r w:rsidR="00203A33">
        <w:rPr>
          <w:rFonts w:ascii="Garamond" w:hAnsi="Garamond"/>
          <w:b/>
          <w:bCs/>
        </w:rPr>
        <w:t xml:space="preserve"> 202</w:t>
      </w:r>
      <w:r w:rsidR="008911F0">
        <w:rPr>
          <w:rFonts w:ascii="Garamond" w:hAnsi="Garamond"/>
          <w:b/>
          <w:bCs/>
        </w:rPr>
        <w:t>6</w:t>
      </w:r>
      <w:r>
        <w:rPr>
          <w:rFonts w:ascii="Garamond" w:hAnsi="Garamond"/>
          <w:bCs/>
        </w:rPr>
        <w:t xml:space="preserve"> následovně:</w:t>
      </w:r>
    </w:p>
    <w:p w14:paraId="459E7583" w14:textId="76DFB365" w:rsidR="008208FF" w:rsidRPr="00D27652" w:rsidRDefault="008208FF" w:rsidP="008208FF">
      <w:pPr>
        <w:shd w:val="clear" w:color="auto" w:fill="FFFFFF"/>
        <w:spacing w:after="120"/>
        <w:jc w:val="both"/>
        <w:rPr>
          <w:rFonts w:ascii="Garamond" w:hAnsi="Garamond"/>
          <w:bCs/>
          <w:color w:val="FF0000"/>
        </w:rPr>
      </w:pPr>
    </w:p>
    <w:p w14:paraId="423FC9D1" w14:textId="77777777" w:rsidR="008208FF" w:rsidRPr="008208FF" w:rsidRDefault="008208FF" w:rsidP="008208FF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jc w:val="both"/>
        <w:rPr>
          <w:rFonts w:ascii="Garamond" w:hAnsi="Garamond"/>
          <w:bCs/>
        </w:rPr>
      </w:pPr>
      <w:r w:rsidRPr="008208FF">
        <w:rPr>
          <w:rFonts w:ascii="Garamond" w:hAnsi="Garamond"/>
        </w:rPr>
        <w:t xml:space="preserve">V </w:t>
      </w:r>
      <w:r w:rsidRPr="008208FF">
        <w:rPr>
          <w:rFonts w:ascii="Garamond" w:hAnsi="Garamond"/>
          <w:b/>
          <w:bCs/>
        </w:rPr>
        <w:t>soudním oddělení 9</w:t>
      </w:r>
      <w:r w:rsidRPr="008208FF">
        <w:rPr>
          <w:rFonts w:ascii="Garamond" w:hAnsi="Garamond"/>
        </w:rPr>
        <w:t xml:space="preserve"> v části Obor a vymezení působnosti se vkládá text „</w:t>
      </w:r>
      <w:r w:rsidRPr="008208FF">
        <w:rPr>
          <w:rFonts w:ascii="Garamond" w:hAnsi="Garamond"/>
          <w:bCs/>
        </w:rPr>
        <w:t>Od 1. 3. 2026 se nevyřízené věci nacházející se v soudním oddělení 9 rozdělují takto</w:t>
      </w:r>
      <w:r w:rsidRPr="008208FF">
        <w:rPr>
          <w:rFonts w:ascii="Garamond" w:hAnsi="Garamond"/>
          <w:bCs/>
        </w:rPr>
        <w:t xml:space="preserve">: </w:t>
      </w:r>
    </w:p>
    <w:p w14:paraId="4E380131" w14:textId="7A389C29" w:rsidR="008208FF" w:rsidRPr="008208FF" w:rsidRDefault="008208FF" w:rsidP="008208FF">
      <w:pPr>
        <w:pStyle w:val="Odstavecseseznamem"/>
        <w:numPr>
          <w:ilvl w:val="0"/>
          <w:numId w:val="22"/>
        </w:numPr>
        <w:shd w:val="clear" w:color="auto" w:fill="FFFFFF"/>
        <w:tabs>
          <w:tab w:val="left" w:pos="0"/>
        </w:tabs>
        <w:spacing w:before="60"/>
        <w:jc w:val="both"/>
        <w:rPr>
          <w:rFonts w:ascii="Garamond" w:hAnsi="Garamond"/>
          <w:bCs/>
        </w:rPr>
      </w:pPr>
      <w:r w:rsidRPr="008208FF">
        <w:rPr>
          <w:rFonts w:ascii="Garamond" w:hAnsi="Garamond"/>
          <w:bCs/>
        </w:rPr>
        <w:t>věci agendy C, specializace Řízení ve věcech, o nichž bylo rozhodnuto jiným orgánem, se přidělují do soudního oddělení 3,</w:t>
      </w:r>
    </w:p>
    <w:p w14:paraId="5592983B" w14:textId="13962A3E" w:rsidR="008208FF" w:rsidRPr="008208FF" w:rsidRDefault="008208FF" w:rsidP="008208FF">
      <w:pPr>
        <w:pStyle w:val="Odstavecseseznamem"/>
        <w:numPr>
          <w:ilvl w:val="0"/>
          <w:numId w:val="22"/>
        </w:numPr>
        <w:shd w:val="clear" w:color="auto" w:fill="FFFFFF"/>
        <w:tabs>
          <w:tab w:val="left" w:pos="0"/>
        </w:tabs>
        <w:spacing w:before="60"/>
        <w:jc w:val="both"/>
        <w:rPr>
          <w:rFonts w:ascii="Garamond" w:hAnsi="Garamond"/>
          <w:bCs/>
        </w:rPr>
      </w:pPr>
      <w:r w:rsidRPr="008208FF">
        <w:rPr>
          <w:rFonts w:ascii="Garamond" w:hAnsi="Garamond"/>
          <w:bCs/>
        </w:rPr>
        <w:t>ostatní věci agendy C se přidělují do soudních oddělení 10 a 11 rotačním způsobem podle data nápadu,</w:t>
      </w:r>
    </w:p>
    <w:p w14:paraId="73E6EAB2" w14:textId="5ABCC713" w:rsidR="008208FF" w:rsidRPr="008208FF" w:rsidRDefault="008208FF" w:rsidP="008208FF">
      <w:pPr>
        <w:pStyle w:val="Odstavecseseznamem"/>
        <w:numPr>
          <w:ilvl w:val="0"/>
          <w:numId w:val="22"/>
        </w:numPr>
        <w:shd w:val="clear" w:color="auto" w:fill="FFFFFF"/>
        <w:tabs>
          <w:tab w:val="left" w:pos="0"/>
        </w:tabs>
        <w:spacing w:before="60"/>
        <w:jc w:val="both"/>
        <w:rPr>
          <w:rFonts w:ascii="Garamond" w:hAnsi="Garamond"/>
          <w:bCs/>
        </w:rPr>
      </w:pPr>
      <w:r w:rsidRPr="008208FF">
        <w:rPr>
          <w:rFonts w:ascii="Garamond" w:hAnsi="Garamond"/>
          <w:bCs/>
        </w:rPr>
        <w:t>věci agendy P-</w:t>
      </w:r>
      <w:proofErr w:type="spellStart"/>
      <w:r w:rsidRPr="008208FF">
        <w:rPr>
          <w:rFonts w:ascii="Garamond" w:hAnsi="Garamond"/>
          <w:bCs/>
        </w:rPr>
        <w:t>Nc</w:t>
      </w:r>
      <w:proofErr w:type="spellEnd"/>
      <w:r w:rsidRPr="008208FF">
        <w:rPr>
          <w:rFonts w:ascii="Garamond" w:hAnsi="Garamond"/>
          <w:bCs/>
        </w:rPr>
        <w:t xml:space="preserve"> se přidělují do soudních oddělení 13, 19, 3 a 7 rotačním způsobem podle data nápadu.</w:t>
      </w:r>
    </w:p>
    <w:p w14:paraId="4D15BEDF" w14:textId="16E6F793" w:rsidR="008208FF" w:rsidRPr="008208FF" w:rsidRDefault="008208FF" w:rsidP="008208FF">
      <w:pPr>
        <w:pStyle w:val="Odstavecseseznamem"/>
        <w:shd w:val="clear" w:color="auto" w:fill="FFFFFF"/>
        <w:spacing w:after="120"/>
        <w:ind w:left="720"/>
        <w:jc w:val="both"/>
        <w:rPr>
          <w:rFonts w:ascii="Garamond" w:hAnsi="Garamond"/>
          <w:bCs/>
        </w:rPr>
      </w:pPr>
      <w:r w:rsidRPr="008208FF">
        <w:rPr>
          <w:rFonts w:ascii="Garamond" w:hAnsi="Garamond"/>
          <w:bCs/>
        </w:rPr>
        <w:t>Tímto způsobem se nevyřízené věci přidělují na dobu pracovní neschopnosti JUDr. Ing. Dagmar Langové a v případě, že by její pracovní neschopnost trvala do 30. 4. 2026, přidělují se bez časového omezení.</w:t>
      </w:r>
      <w:r w:rsidRPr="008208FF">
        <w:rPr>
          <w:rFonts w:ascii="Garamond" w:hAnsi="Garamond"/>
          <w:bCs/>
        </w:rPr>
        <w:t xml:space="preserve"> </w:t>
      </w:r>
      <w:r w:rsidRPr="008208FF">
        <w:rPr>
          <w:rFonts w:ascii="Garamond" w:hAnsi="Garamond"/>
          <w:bCs/>
        </w:rPr>
        <w:t>Zástup nepřítomné soudkyně JUDr. Ing. Dagmar Langové se současně mění tak, že soudci jednotlivých soudních oddělení zastupují tuto soudkyni v období do 28. 2. 2026 jako zástupci pro jednorázové úkony ve věcech, které se jim přidělují od 1. 3. 2026.</w:t>
      </w:r>
      <w:r w:rsidRPr="008208FF">
        <w:rPr>
          <w:rFonts w:ascii="Garamond" w:hAnsi="Garamond"/>
          <w:bCs/>
        </w:rPr>
        <w:t xml:space="preserve"> </w:t>
      </w:r>
      <w:r w:rsidRPr="008208FF">
        <w:rPr>
          <w:rFonts w:ascii="Garamond" w:hAnsi="Garamond"/>
          <w:bCs/>
        </w:rPr>
        <w:t>Výše uvedené rozdělení věcí je obsaženo v příloze č. 3 rozvrhu práce</w:t>
      </w:r>
      <w:r>
        <w:rPr>
          <w:rFonts w:ascii="Garamond" w:hAnsi="Garamond"/>
          <w:bCs/>
        </w:rPr>
        <w:t>“.</w:t>
      </w:r>
    </w:p>
    <w:p w14:paraId="5FFCD590" w14:textId="77777777" w:rsidR="00877A18" w:rsidRPr="008208FF" w:rsidRDefault="00877A18" w:rsidP="008208FF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40734C1C" w14:textId="27CF52B7" w:rsidR="00854DCE" w:rsidRPr="008D00B1" w:rsidRDefault="00854DCE" w:rsidP="003D712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8208FF">
        <w:rPr>
          <w:rFonts w:ascii="Garamond" w:hAnsi="Garamond"/>
        </w:rPr>
        <w:t xml:space="preserve">kládá se </w:t>
      </w:r>
      <w:r>
        <w:rPr>
          <w:rFonts w:ascii="Garamond" w:hAnsi="Garamond"/>
        </w:rPr>
        <w:t>přílo</w:t>
      </w:r>
      <w:r w:rsidR="008208FF">
        <w:rPr>
          <w:rFonts w:ascii="Garamond" w:hAnsi="Garamond"/>
        </w:rPr>
        <w:t>ha</w:t>
      </w:r>
      <w:r>
        <w:rPr>
          <w:rFonts w:ascii="Garamond" w:hAnsi="Garamond"/>
        </w:rPr>
        <w:t xml:space="preserve"> č. </w:t>
      </w:r>
      <w:r w:rsidR="008208FF">
        <w:rPr>
          <w:rFonts w:ascii="Garamond" w:hAnsi="Garamond"/>
        </w:rPr>
        <w:t>3</w:t>
      </w:r>
      <w:r>
        <w:rPr>
          <w:rFonts w:ascii="Garamond" w:hAnsi="Garamond"/>
        </w:rPr>
        <w:t xml:space="preserve"> </w:t>
      </w:r>
      <w:r w:rsidRPr="008D00B1">
        <w:rPr>
          <w:rFonts w:ascii="Garamond" w:hAnsi="Garamond"/>
        </w:rPr>
        <w:t xml:space="preserve">rozvrhu </w:t>
      </w:r>
      <w:r w:rsidR="008208FF">
        <w:rPr>
          <w:rFonts w:ascii="Garamond" w:hAnsi="Garamond"/>
        </w:rPr>
        <w:t>„Přehled přidělení nevyřízených, obživlých a přerušených věcí soudního oddělení 9“.</w:t>
      </w:r>
    </w:p>
    <w:p w14:paraId="037C5D64" w14:textId="77777777" w:rsidR="003D7123" w:rsidRPr="008D00B1" w:rsidRDefault="003D7123" w:rsidP="003D7123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38A2E3D1" w14:textId="77777777" w:rsidR="00274856" w:rsidRPr="00274856" w:rsidRDefault="00274856" w:rsidP="00274856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51F0861D" w14:textId="76341828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8208FF">
        <w:rPr>
          <w:rFonts w:ascii="Garamond" w:hAnsi="Garamond"/>
        </w:rPr>
        <w:t>25</w:t>
      </w:r>
      <w:r w:rsidR="008D00B1">
        <w:rPr>
          <w:rFonts w:ascii="Garamond" w:hAnsi="Garamond"/>
        </w:rPr>
        <w:t>. února 2026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3880B19"/>
    <w:multiLevelType w:val="hybridMultilevel"/>
    <w:tmpl w:val="55947B62"/>
    <w:lvl w:ilvl="0" w:tplc="1540AD8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9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4"/>
  </w:num>
  <w:num w:numId="5" w16cid:durableId="954680429">
    <w:abstractNumId w:val="19"/>
  </w:num>
  <w:num w:numId="6" w16cid:durableId="160315905">
    <w:abstractNumId w:val="10"/>
  </w:num>
  <w:num w:numId="7" w16cid:durableId="2107846763">
    <w:abstractNumId w:val="8"/>
  </w:num>
  <w:num w:numId="8" w16cid:durableId="1331249042">
    <w:abstractNumId w:val="15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1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3"/>
  </w:num>
  <w:num w:numId="18" w16cid:durableId="705522247">
    <w:abstractNumId w:val="16"/>
  </w:num>
  <w:num w:numId="19" w16cid:durableId="1348948590">
    <w:abstractNumId w:val="12"/>
  </w:num>
  <w:num w:numId="20" w16cid:durableId="389813369">
    <w:abstractNumId w:val="2"/>
  </w:num>
  <w:num w:numId="21" w16cid:durableId="791289458">
    <w:abstractNumId w:val="20"/>
  </w:num>
  <w:num w:numId="22" w16cid:durableId="2416409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1BF0"/>
    <w:rsid w:val="00186294"/>
    <w:rsid w:val="001926A3"/>
    <w:rsid w:val="001A1BE0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74856"/>
    <w:rsid w:val="00283BDF"/>
    <w:rsid w:val="002971D7"/>
    <w:rsid w:val="002C5EAD"/>
    <w:rsid w:val="002D23A0"/>
    <w:rsid w:val="002E0F18"/>
    <w:rsid w:val="003115EC"/>
    <w:rsid w:val="00344547"/>
    <w:rsid w:val="00366E91"/>
    <w:rsid w:val="0037373F"/>
    <w:rsid w:val="003841CF"/>
    <w:rsid w:val="003A0A2C"/>
    <w:rsid w:val="003B4CC2"/>
    <w:rsid w:val="003B7393"/>
    <w:rsid w:val="003D712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63271"/>
    <w:rsid w:val="0057165C"/>
    <w:rsid w:val="00572BB2"/>
    <w:rsid w:val="00586E68"/>
    <w:rsid w:val="005A79F1"/>
    <w:rsid w:val="005B2838"/>
    <w:rsid w:val="005E4846"/>
    <w:rsid w:val="00610808"/>
    <w:rsid w:val="00620423"/>
    <w:rsid w:val="00624BF8"/>
    <w:rsid w:val="0063415C"/>
    <w:rsid w:val="006454D0"/>
    <w:rsid w:val="0067241C"/>
    <w:rsid w:val="006A2648"/>
    <w:rsid w:val="006C0D4F"/>
    <w:rsid w:val="006D2086"/>
    <w:rsid w:val="006F0F68"/>
    <w:rsid w:val="00761B3C"/>
    <w:rsid w:val="007630E4"/>
    <w:rsid w:val="007A05F7"/>
    <w:rsid w:val="007A5AF2"/>
    <w:rsid w:val="007E5CFA"/>
    <w:rsid w:val="00813EA2"/>
    <w:rsid w:val="008208FF"/>
    <w:rsid w:val="00832D3E"/>
    <w:rsid w:val="00834BEC"/>
    <w:rsid w:val="00841F91"/>
    <w:rsid w:val="00854DCE"/>
    <w:rsid w:val="008600F2"/>
    <w:rsid w:val="00866E6F"/>
    <w:rsid w:val="00867708"/>
    <w:rsid w:val="00874374"/>
    <w:rsid w:val="00877A18"/>
    <w:rsid w:val="00881D79"/>
    <w:rsid w:val="008911F0"/>
    <w:rsid w:val="008A557D"/>
    <w:rsid w:val="008B42D1"/>
    <w:rsid w:val="008B6552"/>
    <w:rsid w:val="008C25BF"/>
    <w:rsid w:val="008D00B1"/>
    <w:rsid w:val="008D2493"/>
    <w:rsid w:val="008D2EB0"/>
    <w:rsid w:val="008D3F7B"/>
    <w:rsid w:val="008E14E5"/>
    <w:rsid w:val="008F054E"/>
    <w:rsid w:val="00907D18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AF3C44"/>
    <w:rsid w:val="00B02BEC"/>
    <w:rsid w:val="00B16AC1"/>
    <w:rsid w:val="00B31090"/>
    <w:rsid w:val="00B65E0B"/>
    <w:rsid w:val="00B817C7"/>
    <w:rsid w:val="00BA1250"/>
    <w:rsid w:val="00BB76D6"/>
    <w:rsid w:val="00BD77E1"/>
    <w:rsid w:val="00C2628A"/>
    <w:rsid w:val="00C4033F"/>
    <w:rsid w:val="00C645A0"/>
    <w:rsid w:val="00C66327"/>
    <w:rsid w:val="00C72E83"/>
    <w:rsid w:val="00C73A50"/>
    <w:rsid w:val="00C8349A"/>
    <w:rsid w:val="00C97511"/>
    <w:rsid w:val="00CB274B"/>
    <w:rsid w:val="00CC0C43"/>
    <w:rsid w:val="00CC1C77"/>
    <w:rsid w:val="00CD4AD6"/>
    <w:rsid w:val="00D04279"/>
    <w:rsid w:val="00D21027"/>
    <w:rsid w:val="00D4567A"/>
    <w:rsid w:val="00D544C5"/>
    <w:rsid w:val="00D6039A"/>
    <w:rsid w:val="00D63450"/>
    <w:rsid w:val="00D80E24"/>
    <w:rsid w:val="00D9798C"/>
    <w:rsid w:val="00DC528F"/>
    <w:rsid w:val="00E02932"/>
    <w:rsid w:val="00E0463D"/>
    <w:rsid w:val="00E0639A"/>
    <w:rsid w:val="00E14BE0"/>
    <w:rsid w:val="00E14E00"/>
    <w:rsid w:val="00E2108C"/>
    <w:rsid w:val="00E232D1"/>
    <w:rsid w:val="00E236AF"/>
    <w:rsid w:val="00E35DC1"/>
    <w:rsid w:val="00E423F8"/>
    <w:rsid w:val="00E57F5E"/>
    <w:rsid w:val="00E706F1"/>
    <w:rsid w:val="00E761F4"/>
    <w:rsid w:val="00E87639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2</cp:revision>
  <cp:lastPrinted>2026-02-26T06:34:00Z</cp:lastPrinted>
  <dcterms:created xsi:type="dcterms:W3CDTF">2026-02-26T06:26:00Z</dcterms:created>
  <dcterms:modified xsi:type="dcterms:W3CDTF">2026-02-26T06:26:00Z</dcterms:modified>
</cp:coreProperties>
</file>