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AB3F3" w14:textId="77777777" w:rsidR="0059309C" w:rsidRDefault="0059309C">
      <w:pPr>
        <w:rPr>
          <w:rFonts w:ascii="Garamond" w:hAnsi="Garamond"/>
          <w:b/>
          <w:bCs/>
          <w:smallCaps/>
          <w:sz w:val="28"/>
          <w:szCs w:val="28"/>
        </w:rPr>
      </w:pPr>
    </w:p>
    <w:p w14:paraId="33138C70" w14:textId="12776497" w:rsidR="00231140" w:rsidRPr="0059309C" w:rsidRDefault="00231140">
      <w:pPr>
        <w:rPr>
          <w:rFonts w:ascii="Garamond" w:hAnsi="Garamond"/>
          <w:b/>
          <w:bCs/>
          <w:smallCaps/>
          <w:sz w:val="28"/>
          <w:szCs w:val="28"/>
        </w:rPr>
      </w:pPr>
      <w:r w:rsidRPr="0059309C">
        <w:rPr>
          <w:rFonts w:ascii="Garamond" w:hAnsi="Garamond"/>
          <w:b/>
          <w:bCs/>
          <w:smallCaps/>
          <w:sz w:val="28"/>
          <w:szCs w:val="28"/>
        </w:rPr>
        <w:t>Informace o režimu vstupu do budovy Okresního soudu v Chebu</w:t>
      </w:r>
    </w:p>
    <w:p w14:paraId="587D6904" w14:textId="77777777" w:rsidR="00231140" w:rsidRPr="00231140" w:rsidRDefault="00231140">
      <w:pPr>
        <w:rPr>
          <w:rFonts w:ascii="Garamond" w:hAnsi="Garamond"/>
          <w:b/>
          <w:bCs/>
        </w:rPr>
      </w:pPr>
    </w:p>
    <w:p w14:paraId="75905C7F" w14:textId="7D0AED90" w:rsidR="00EB06AE" w:rsidRPr="00231140" w:rsidRDefault="009636D6">
      <w:pPr>
        <w:rPr>
          <w:rFonts w:ascii="Garamond" w:hAnsi="Garamond"/>
          <w:b/>
          <w:bCs/>
        </w:rPr>
      </w:pPr>
      <w:r w:rsidRPr="00231140">
        <w:rPr>
          <w:rFonts w:ascii="Garamond" w:hAnsi="Garamond"/>
          <w:b/>
          <w:bCs/>
        </w:rPr>
        <w:t xml:space="preserve">Provádění kontrol osob vstupujících do budovy </w:t>
      </w:r>
    </w:p>
    <w:p w14:paraId="06672775" w14:textId="1E354C90" w:rsidR="009636D6" w:rsidRPr="00231140" w:rsidRDefault="009636D6" w:rsidP="009636D6">
      <w:pPr>
        <w:pStyle w:val="Bezmezer"/>
        <w:spacing w:after="120"/>
        <w:rPr>
          <w:rFonts w:ascii="Garamond" w:hAnsi="Garamond"/>
          <w:sz w:val="24"/>
          <w:szCs w:val="24"/>
        </w:rPr>
      </w:pPr>
      <w:r w:rsidRPr="00231140">
        <w:rPr>
          <w:rFonts w:ascii="Garamond" w:hAnsi="Garamond"/>
          <w:sz w:val="24"/>
          <w:szCs w:val="24"/>
        </w:rPr>
        <w:t xml:space="preserve">Osoby vstupující do objektu soudu na pokyn příslušníků justiční stráže procházejí detekčním rámem a v případě potřeby použijí příslušníci justiční stráže ruční detektor. Zavazadla příchozích jsou kontrolována rentgenem zavazadel. </w:t>
      </w:r>
    </w:p>
    <w:p w14:paraId="1F1436F6" w14:textId="59E23817" w:rsidR="009636D6" w:rsidRPr="00231140" w:rsidRDefault="009636D6" w:rsidP="009636D6">
      <w:pPr>
        <w:pStyle w:val="Bezmezer"/>
        <w:spacing w:after="120"/>
        <w:rPr>
          <w:rFonts w:ascii="Garamond" w:hAnsi="Garamond"/>
          <w:sz w:val="24"/>
          <w:szCs w:val="24"/>
        </w:rPr>
      </w:pPr>
      <w:r w:rsidRPr="00231140">
        <w:rPr>
          <w:rFonts w:ascii="Garamond" w:hAnsi="Garamond"/>
          <w:sz w:val="24"/>
          <w:szCs w:val="24"/>
        </w:rPr>
        <w:t xml:space="preserve">Uvedené vstupní kontroly jsou zproštěni zaměstnanci soudu, Okresního státního zastupitelství v Chebu a Probační a mediační služby – středisko Cheb, kteří jsou justiční stráži známi, případně se za takovou osobu prokážou. </w:t>
      </w:r>
    </w:p>
    <w:p w14:paraId="658D4984" w14:textId="77777777" w:rsidR="009636D6" w:rsidRPr="00231140" w:rsidRDefault="009636D6" w:rsidP="009636D6">
      <w:pPr>
        <w:pStyle w:val="Bezmezer"/>
        <w:spacing w:after="120"/>
        <w:rPr>
          <w:rFonts w:ascii="Garamond" w:hAnsi="Garamond"/>
          <w:sz w:val="24"/>
          <w:szCs w:val="24"/>
        </w:rPr>
      </w:pPr>
      <w:r w:rsidRPr="00231140">
        <w:rPr>
          <w:rFonts w:ascii="Garamond" w:hAnsi="Garamond"/>
          <w:sz w:val="24"/>
          <w:szCs w:val="24"/>
        </w:rPr>
        <w:t xml:space="preserve">Výjimky nepodléhající této vstupní kontrole, pokud předloží služební nebo jiný osobní průkaz, z něhož je zřejmé, že takovou funkci vykonávají, jsou: </w:t>
      </w:r>
    </w:p>
    <w:p w14:paraId="784A3819" w14:textId="77777777" w:rsidR="009636D6" w:rsidRPr="00231140" w:rsidRDefault="009636D6" w:rsidP="00231140">
      <w:pPr>
        <w:pStyle w:val="Bezmezer"/>
        <w:numPr>
          <w:ilvl w:val="0"/>
          <w:numId w:val="4"/>
        </w:numPr>
        <w:spacing w:after="120"/>
        <w:ind w:left="709" w:hanging="283"/>
        <w:rPr>
          <w:rFonts w:ascii="Garamond" w:hAnsi="Garamond"/>
          <w:sz w:val="24"/>
          <w:szCs w:val="24"/>
        </w:rPr>
      </w:pPr>
      <w:r w:rsidRPr="00231140">
        <w:rPr>
          <w:rFonts w:ascii="Garamond" w:hAnsi="Garamond"/>
          <w:sz w:val="24"/>
          <w:szCs w:val="24"/>
        </w:rPr>
        <w:t>prezident republiky, poslanci a senátoři Parlamentu ČR, premiér, členové vlády, soudci Ústavního soudu, soudci obecných soudů, ředitel Bezpečnostní informační služby ČR, Veřejný ochránce práv a jeho zástupce,</w:t>
      </w:r>
    </w:p>
    <w:p w14:paraId="52570D8B" w14:textId="77777777" w:rsidR="009636D6" w:rsidRPr="00231140" w:rsidRDefault="009636D6" w:rsidP="00231140">
      <w:pPr>
        <w:pStyle w:val="Bezmezer"/>
        <w:numPr>
          <w:ilvl w:val="0"/>
          <w:numId w:val="4"/>
        </w:numPr>
        <w:spacing w:after="120"/>
        <w:ind w:left="709" w:hanging="283"/>
        <w:rPr>
          <w:rFonts w:ascii="Garamond" w:hAnsi="Garamond"/>
          <w:sz w:val="24"/>
          <w:szCs w:val="24"/>
        </w:rPr>
      </w:pPr>
      <w:r w:rsidRPr="00231140">
        <w:rPr>
          <w:rFonts w:ascii="Garamond" w:hAnsi="Garamond"/>
          <w:sz w:val="24"/>
          <w:szCs w:val="24"/>
        </w:rPr>
        <w:t>funkcionáři, pracovníci resortu Ministerstva spravedlnosti ČR nebo Ministerstva vnitra ČR,</w:t>
      </w:r>
    </w:p>
    <w:p w14:paraId="70AF6E13" w14:textId="77777777" w:rsidR="009636D6" w:rsidRPr="00231140" w:rsidRDefault="009636D6" w:rsidP="00231140">
      <w:pPr>
        <w:pStyle w:val="Bezmezer"/>
        <w:numPr>
          <w:ilvl w:val="0"/>
          <w:numId w:val="4"/>
        </w:numPr>
        <w:spacing w:after="120"/>
        <w:ind w:left="709" w:hanging="283"/>
        <w:rPr>
          <w:rFonts w:ascii="Garamond" w:hAnsi="Garamond"/>
          <w:sz w:val="24"/>
          <w:szCs w:val="24"/>
        </w:rPr>
      </w:pPr>
      <w:r w:rsidRPr="00231140">
        <w:rPr>
          <w:rFonts w:ascii="Garamond" w:hAnsi="Garamond"/>
          <w:sz w:val="24"/>
          <w:szCs w:val="24"/>
        </w:rPr>
        <w:t>advokáti, státní zástupci, notáři a soudní exekutoři, právní čekatelé, notářští, advokátní a exekutorští koncipienti a kandidáti,</w:t>
      </w:r>
    </w:p>
    <w:p w14:paraId="151ED447" w14:textId="77777777" w:rsidR="009636D6" w:rsidRPr="00231140" w:rsidRDefault="009636D6" w:rsidP="00231140">
      <w:pPr>
        <w:pStyle w:val="Bezmezer"/>
        <w:numPr>
          <w:ilvl w:val="0"/>
          <w:numId w:val="4"/>
        </w:numPr>
        <w:spacing w:after="120"/>
        <w:ind w:left="709" w:hanging="283"/>
        <w:rPr>
          <w:rFonts w:ascii="Garamond" w:hAnsi="Garamond"/>
          <w:sz w:val="24"/>
          <w:szCs w:val="24"/>
        </w:rPr>
      </w:pPr>
      <w:r w:rsidRPr="00231140">
        <w:rPr>
          <w:rFonts w:ascii="Garamond" w:hAnsi="Garamond"/>
          <w:sz w:val="24"/>
          <w:szCs w:val="24"/>
        </w:rPr>
        <w:t>přísedící Okresního soudu v Chebu,</w:t>
      </w:r>
    </w:p>
    <w:p w14:paraId="5AC2678E" w14:textId="77777777" w:rsidR="009636D6" w:rsidRPr="00231140" w:rsidRDefault="009636D6" w:rsidP="00231140">
      <w:pPr>
        <w:pStyle w:val="Bezmezer"/>
        <w:numPr>
          <w:ilvl w:val="0"/>
          <w:numId w:val="4"/>
        </w:numPr>
        <w:spacing w:after="120"/>
        <w:ind w:left="709" w:hanging="283"/>
        <w:rPr>
          <w:rFonts w:ascii="Garamond" w:hAnsi="Garamond"/>
          <w:sz w:val="24"/>
          <w:szCs w:val="24"/>
        </w:rPr>
      </w:pPr>
      <w:r w:rsidRPr="00231140">
        <w:rPr>
          <w:rFonts w:ascii="Garamond" w:hAnsi="Garamond"/>
          <w:sz w:val="24"/>
          <w:szCs w:val="24"/>
        </w:rPr>
        <w:t>osoby zproštěné individuálním pokynem předsedy soudu, místopředsedy soudu, ředitele správy soudu nebo bezpečnostního ředitele soudu.</w:t>
      </w:r>
    </w:p>
    <w:p w14:paraId="6F0BA287" w14:textId="77777777" w:rsidR="009636D6" w:rsidRPr="00231140" w:rsidRDefault="009636D6" w:rsidP="009636D6">
      <w:pPr>
        <w:pStyle w:val="Bezmezer"/>
        <w:spacing w:after="120"/>
        <w:rPr>
          <w:rFonts w:ascii="Garamond" w:hAnsi="Garamond"/>
          <w:sz w:val="24"/>
          <w:szCs w:val="24"/>
        </w:rPr>
      </w:pPr>
      <w:r w:rsidRPr="00231140">
        <w:rPr>
          <w:rFonts w:ascii="Garamond" w:hAnsi="Garamond"/>
          <w:sz w:val="24"/>
          <w:szCs w:val="24"/>
        </w:rPr>
        <w:t>V případě pochybnosti o totožnosti vstupujících osob či v případě jiných pochybností provedou příslušníci justiční stráže kontrolu vstupujících osob technickými prostředky shora uvedenými.</w:t>
      </w:r>
    </w:p>
    <w:p w14:paraId="3C0C8381" w14:textId="77777777" w:rsidR="009636D6" w:rsidRPr="00231140" w:rsidRDefault="009636D6" w:rsidP="009636D6">
      <w:pPr>
        <w:pStyle w:val="Bezmezer"/>
        <w:spacing w:after="120"/>
        <w:rPr>
          <w:rFonts w:ascii="Garamond" w:hAnsi="Garamond"/>
          <w:sz w:val="24"/>
          <w:szCs w:val="24"/>
        </w:rPr>
      </w:pPr>
    </w:p>
    <w:p w14:paraId="57E09601" w14:textId="7ABFB964" w:rsidR="009636D6" w:rsidRPr="00231140" w:rsidRDefault="009636D6" w:rsidP="009636D6">
      <w:pPr>
        <w:rPr>
          <w:rFonts w:ascii="Garamond" w:hAnsi="Garamond"/>
          <w:b/>
          <w:bCs/>
        </w:rPr>
      </w:pPr>
      <w:r w:rsidRPr="00231140">
        <w:rPr>
          <w:rFonts w:ascii="Garamond" w:hAnsi="Garamond"/>
          <w:b/>
          <w:bCs/>
        </w:rPr>
        <w:t>Vstup osob pod vlivem alkoholu</w:t>
      </w:r>
      <w:r w:rsidR="00231140" w:rsidRPr="00231140">
        <w:rPr>
          <w:rFonts w:ascii="Garamond" w:hAnsi="Garamond"/>
          <w:b/>
          <w:bCs/>
        </w:rPr>
        <w:t xml:space="preserve"> nebo jiných návykových či omamných látek</w:t>
      </w:r>
    </w:p>
    <w:p w14:paraId="4DD2CCD3" w14:textId="77777777" w:rsidR="009636D6" w:rsidRPr="00231140" w:rsidRDefault="009636D6" w:rsidP="009636D6">
      <w:pPr>
        <w:pStyle w:val="Bezmezer"/>
        <w:spacing w:after="120"/>
        <w:rPr>
          <w:rFonts w:ascii="Garamond" w:hAnsi="Garamond"/>
          <w:sz w:val="24"/>
          <w:szCs w:val="24"/>
        </w:rPr>
      </w:pPr>
      <w:r w:rsidRPr="00231140">
        <w:rPr>
          <w:rFonts w:ascii="Garamond" w:hAnsi="Garamond"/>
          <w:sz w:val="24"/>
          <w:szCs w:val="24"/>
        </w:rPr>
        <w:t xml:space="preserve">Vstup do objektu soudu se </w:t>
      </w:r>
      <w:r w:rsidRPr="0059309C">
        <w:rPr>
          <w:rFonts w:ascii="Garamond" w:hAnsi="Garamond"/>
          <w:b/>
          <w:bCs/>
          <w:sz w:val="24"/>
          <w:szCs w:val="24"/>
        </w:rPr>
        <w:t>nepovoluje</w:t>
      </w:r>
      <w:r w:rsidRPr="00231140">
        <w:rPr>
          <w:rFonts w:ascii="Garamond" w:hAnsi="Garamond"/>
          <w:sz w:val="24"/>
          <w:szCs w:val="24"/>
        </w:rPr>
        <w:t xml:space="preserve"> osobám, které jsou zjevně pod vlivem alkoholu nebo jiných návykových či omamných látek nebo osobám, u kterých je důvodné podezření, že by mohli ohrozit zdraví a život zaměstnanců soudu a dalších přítomných osob, či způsobit škodu na majetku nebo narušovat veřejný pořádek. </w:t>
      </w:r>
    </w:p>
    <w:p w14:paraId="0F131D42" w14:textId="6FB47142" w:rsidR="00231140" w:rsidRPr="00231140" w:rsidRDefault="00231140" w:rsidP="009636D6">
      <w:pPr>
        <w:pStyle w:val="Bezmezer"/>
        <w:spacing w:after="120"/>
        <w:rPr>
          <w:rFonts w:ascii="Garamond" w:hAnsi="Garamond"/>
          <w:color w:val="0070C0"/>
          <w:sz w:val="24"/>
          <w:szCs w:val="24"/>
        </w:rPr>
      </w:pPr>
    </w:p>
    <w:p w14:paraId="10B5A1B9" w14:textId="458E72BC" w:rsidR="00231140" w:rsidRPr="00231140" w:rsidRDefault="00231140" w:rsidP="009636D6">
      <w:pPr>
        <w:pStyle w:val="Bezmezer"/>
        <w:spacing w:after="120"/>
        <w:rPr>
          <w:rFonts w:ascii="Garamond" w:hAnsi="Garamond"/>
          <w:b/>
          <w:bCs/>
          <w:sz w:val="24"/>
          <w:szCs w:val="24"/>
        </w:rPr>
      </w:pPr>
      <w:r w:rsidRPr="00231140">
        <w:rPr>
          <w:rFonts w:ascii="Garamond" w:hAnsi="Garamond"/>
          <w:b/>
          <w:bCs/>
          <w:sz w:val="24"/>
          <w:szCs w:val="24"/>
        </w:rPr>
        <w:t>Vstup se zbraní, možnost uložení zbraně</w:t>
      </w:r>
    </w:p>
    <w:p w14:paraId="03434ABA" w14:textId="77777777" w:rsidR="00231140" w:rsidRDefault="009636D6" w:rsidP="009636D6">
      <w:pPr>
        <w:pStyle w:val="Bezmezer"/>
        <w:spacing w:after="120"/>
        <w:rPr>
          <w:rFonts w:ascii="Garamond" w:hAnsi="Garamond"/>
          <w:sz w:val="24"/>
          <w:szCs w:val="24"/>
        </w:rPr>
      </w:pPr>
      <w:r w:rsidRPr="00231140">
        <w:rPr>
          <w:rFonts w:ascii="Garamond" w:hAnsi="Garamond"/>
          <w:sz w:val="24"/>
          <w:szCs w:val="24"/>
        </w:rPr>
        <w:t xml:space="preserve">Do budovy soudu je </w:t>
      </w:r>
      <w:r w:rsidRPr="0059309C">
        <w:rPr>
          <w:rFonts w:ascii="Garamond" w:hAnsi="Garamond"/>
          <w:b/>
          <w:bCs/>
          <w:sz w:val="24"/>
          <w:szCs w:val="24"/>
        </w:rPr>
        <w:t>zakázáno</w:t>
      </w:r>
      <w:r w:rsidRPr="00231140">
        <w:rPr>
          <w:rFonts w:ascii="Garamond" w:hAnsi="Garamond"/>
          <w:sz w:val="24"/>
          <w:szCs w:val="24"/>
        </w:rPr>
        <w:t xml:space="preserve"> vstupovat se zbraní nebo s jinými předměty, které jsou způsobilé ohrozit život nebo zdraví anebo pořádek. Tento zákaz se nevztahuje na soudce a na příslušníky ozbrojených složek a ozbrojených sborů, jestliže vstupují do budovy soudu v souvislosti s plněním svých služebních povinností. </w:t>
      </w:r>
    </w:p>
    <w:p w14:paraId="14185BDF" w14:textId="77777777" w:rsidR="00231140" w:rsidRDefault="009636D6" w:rsidP="009636D6">
      <w:pPr>
        <w:pStyle w:val="Bezmezer"/>
        <w:spacing w:after="120"/>
        <w:rPr>
          <w:rFonts w:ascii="Garamond" w:hAnsi="Garamond"/>
          <w:sz w:val="24"/>
          <w:szCs w:val="24"/>
        </w:rPr>
      </w:pPr>
      <w:r w:rsidRPr="00231140">
        <w:rPr>
          <w:rFonts w:ascii="Garamond" w:hAnsi="Garamond"/>
          <w:sz w:val="24"/>
          <w:szCs w:val="24"/>
        </w:rPr>
        <w:t xml:space="preserve">Vstup do budovy soudu však </w:t>
      </w:r>
      <w:r w:rsidRPr="0059309C">
        <w:rPr>
          <w:rFonts w:ascii="Garamond" w:hAnsi="Garamond"/>
          <w:b/>
          <w:bCs/>
          <w:sz w:val="24"/>
          <w:szCs w:val="24"/>
        </w:rPr>
        <w:t>lze umožnit</w:t>
      </w:r>
      <w:r w:rsidRPr="00231140">
        <w:rPr>
          <w:rFonts w:ascii="Garamond" w:hAnsi="Garamond"/>
          <w:sz w:val="24"/>
          <w:szCs w:val="24"/>
        </w:rPr>
        <w:t xml:space="preserve"> osobě – držiteli krátké střelné zbraně, po uložení této zbraně do uzamykatelné certifikované skříně na zbraně (dále jen „trezor“) umístěné ve vestibulu soudu. K tomuto účelu slouží 2 trezory v objektu soudu. Při vstupu do objektu soudu je držitel střelné zbraně povinen tuto skutečnost sdělit službu</w:t>
      </w:r>
      <w:r w:rsidR="00231140">
        <w:rPr>
          <w:rFonts w:ascii="Garamond" w:hAnsi="Garamond"/>
          <w:sz w:val="24"/>
          <w:szCs w:val="24"/>
        </w:rPr>
        <w:t xml:space="preserve"> </w:t>
      </w:r>
      <w:r w:rsidRPr="00231140">
        <w:rPr>
          <w:rFonts w:ascii="Garamond" w:hAnsi="Garamond"/>
          <w:sz w:val="24"/>
          <w:szCs w:val="24"/>
        </w:rPr>
        <w:t xml:space="preserve">konajícímu příslušníkovi justiční stráže a na jeho pokyn a pod jeho přímým dohledem sám držitel uloží zbraň do určeného trezoru a tento trezor sám uzamkne. Příslušný klíč si držitel uložené zbraně ponechá u sebe po celou dobu návštěvy </w:t>
      </w:r>
      <w:r w:rsidRPr="00231140">
        <w:rPr>
          <w:rFonts w:ascii="Garamond" w:hAnsi="Garamond"/>
          <w:sz w:val="24"/>
          <w:szCs w:val="24"/>
        </w:rPr>
        <w:lastRenderedPageBreak/>
        <w:t xml:space="preserve">v objektu soudu; tento klíč vrací po vyzvednutí zbraně z trezoru při opuštění objektu soudu službu konajícímu příslušníkovi justiční stráže. Za manipulaci se střelnou zbraní odpovídá držitel zbraně. </w:t>
      </w:r>
    </w:p>
    <w:p w14:paraId="37AD3928" w14:textId="7012962E" w:rsidR="009636D6" w:rsidRPr="00231140" w:rsidRDefault="009636D6" w:rsidP="009636D6">
      <w:pPr>
        <w:pStyle w:val="Bezmezer"/>
        <w:spacing w:after="120"/>
        <w:rPr>
          <w:rFonts w:ascii="Garamond" w:hAnsi="Garamond"/>
          <w:color w:val="0070C0"/>
          <w:sz w:val="24"/>
          <w:szCs w:val="24"/>
        </w:rPr>
      </w:pPr>
      <w:r w:rsidRPr="00231140">
        <w:rPr>
          <w:rFonts w:ascii="Garamond" w:hAnsi="Garamond"/>
          <w:sz w:val="24"/>
          <w:szCs w:val="24"/>
        </w:rPr>
        <w:t xml:space="preserve">Do budovy soudu je </w:t>
      </w:r>
      <w:r w:rsidRPr="0059309C">
        <w:rPr>
          <w:rFonts w:ascii="Garamond" w:hAnsi="Garamond"/>
          <w:b/>
          <w:bCs/>
          <w:sz w:val="24"/>
          <w:szCs w:val="24"/>
        </w:rPr>
        <w:t>zakázáno</w:t>
      </w:r>
      <w:r w:rsidRPr="00231140">
        <w:rPr>
          <w:rFonts w:ascii="Garamond" w:hAnsi="Garamond"/>
          <w:sz w:val="24"/>
          <w:szCs w:val="24"/>
        </w:rPr>
        <w:t xml:space="preserve"> vnášet zbraně, střelivo a výbušniny s výjimkami shora uvedenými. </w:t>
      </w:r>
    </w:p>
    <w:p w14:paraId="62E1F747" w14:textId="5FD12E84" w:rsidR="00231140" w:rsidRPr="00231140" w:rsidRDefault="00231140" w:rsidP="009636D6">
      <w:pPr>
        <w:pStyle w:val="Bezmezer"/>
        <w:spacing w:after="120"/>
        <w:rPr>
          <w:rFonts w:ascii="Garamond" w:hAnsi="Garamond"/>
          <w:b/>
          <w:bCs/>
          <w:sz w:val="24"/>
          <w:szCs w:val="24"/>
        </w:rPr>
      </w:pPr>
      <w:r w:rsidRPr="00231140">
        <w:rPr>
          <w:rFonts w:ascii="Garamond" w:hAnsi="Garamond"/>
          <w:b/>
          <w:bCs/>
          <w:sz w:val="24"/>
          <w:szCs w:val="24"/>
        </w:rPr>
        <w:t>Vstup se zvířaty</w:t>
      </w:r>
    </w:p>
    <w:p w14:paraId="0B767C11" w14:textId="058948EA" w:rsidR="009636D6" w:rsidRPr="00231140" w:rsidRDefault="009636D6" w:rsidP="009636D6">
      <w:pPr>
        <w:pStyle w:val="Bezmezer"/>
        <w:spacing w:after="120"/>
        <w:rPr>
          <w:rFonts w:ascii="Garamond" w:hAnsi="Garamond"/>
          <w:sz w:val="24"/>
          <w:szCs w:val="24"/>
        </w:rPr>
      </w:pPr>
      <w:r w:rsidRPr="00231140">
        <w:rPr>
          <w:rFonts w:ascii="Garamond" w:hAnsi="Garamond"/>
          <w:sz w:val="24"/>
          <w:szCs w:val="24"/>
        </w:rPr>
        <w:t>Vstup do objektu soudu se zvířaty s výjimkou služebních psů a asistenčních psů doprovázejících zdravotně postižené osoby je </w:t>
      </w:r>
      <w:r w:rsidRPr="0059309C">
        <w:rPr>
          <w:rFonts w:ascii="Garamond" w:hAnsi="Garamond"/>
          <w:b/>
          <w:bCs/>
          <w:sz w:val="24"/>
          <w:szCs w:val="24"/>
        </w:rPr>
        <w:t>zakázán</w:t>
      </w:r>
      <w:r w:rsidRPr="00231140">
        <w:rPr>
          <w:rFonts w:ascii="Garamond" w:hAnsi="Garamond"/>
          <w:sz w:val="24"/>
          <w:szCs w:val="24"/>
        </w:rPr>
        <w:t>.</w:t>
      </w:r>
    </w:p>
    <w:p w14:paraId="4A69950E" w14:textId="7826EF9E" w:rsidR="00231140" w:rsidRPr="00231140" w:rsidRDefault="00231140" w:rsidP="009636D6">
      <w:pPr>
        <w:pStyle w:val="Bezmezer"/>
        <w:spacing w:after="120"/>
        <w:rPr>
          <w:rFonts w:ascii="Garamond" w:hAnsi="Garamond"/>
          <w:b/>
          <w:bCs/>
          <w:sz w:val="24"/>
          <w:szCs w:val="24"/>
        </w:rPr>
      </w:pPr>
      <w:r w:rsidRPr="00231140">
        <w:rPr>
          <w:rFonts w:ascii="Garamond" w:hAnsi="Garamond"/>
          <w:b/>
          <w:bCs/>
          <w:sz w:val="24"/>
          <w:szCs w:val="24"/>
        </w:rPr>
        <w:t>Vstup s kolem nebo koloběžkou</w:t>
      </w:r>
    </w:p>
    <w:p w14:paraId="5B82450E" w14:textId="77777777" w:rsidR="009636D6" w:rsidRPr="00231140" w:rsidRDefault="009636D6" w:rsidP="009636D6">
      <w:pPr>
        <w:pStyle w:val="Bezmezer"/>
        <w:spacing w:after="120"/>
        <w:rPr>
          <w:rFonts w:ascii="Garamond" w:hAnsi="Garamond"/>
          <w:sz w:val="24"/>
          <w:szCs w:val="24"/>
        </w:rPr>
      </w:pPr>
      <w:r w:rsidRPr="00231140">
        <w:rPr>
          <w:rFonts w:ascii="Garamond" w:hAnsi="Garamond"/>
          <w:sz w:val="24"/>
          <w:szCs w:val="24"/>
        </w:rPr>
        <w:t xml:space="preserve">Vstup do objektu soudu s elektrokoly, elektrokoloběžkami, jízdními koly, koloběžkami, dvoukolovými elektrickými dopravními prostředky (segway), apod. je </w:t>
      </w:r>
      <w:r w:rsidRPr="0059309C">
        <w:rPr>
          <w:rFonts w:ascii="Garamond" w:hAnsi="Garamond"/>
          <w:b/>
          <w:bCs/>
          <w:sz w:val="24"/>
          <w:szCs w:val="24"/>
        </w:rPr>
        <w:t>zakázán</w:t>
      </w:r>
      <w:r w:rsidRPr="00231140">
        <w:rPr>
          <w:rFonts w:ascii="Garamond" w:hAnsi="Garamond"/>
          <w:sz w:val="24"/>
          <w:szCs w:val="24"/>
        </w:rPr>
        <w:t>. Takovéto dopravní prostředky je nutné ponechat mimo objekt soudu. Soud nenese odpovědnost za případné škody či odcizení.</w:t>
      </w:r>
    </w:p>
    <w:sectPr w:rsidR="009636D6" w:rsidRPr="002311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4953C" w14:textId="77777777" w:rsidR="0059309C" w:rsidRDefault="0059309C" w:rsidP="0059309C">
      <w:pPr>
        <w:spacing w:after="0" w:line="240" w:lineRule="auto"/>
      </w:pPr>
      <w:r>
        <w:separator/>
      </w:r>
    </w:p>
  </w:endnote>
  <w:endnote w:type="continuationSeparator" w:id="0">
    <w:p w14:paraId="7E454813" w14:textId="77777777" w:rsidR="0059309C" w:rsidRDefault="0059309C" w:rsidP="00593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8BA31" w14:textId="77777777" w:rsidR="0059309C" w:rsidRDefault="0059309C" w:rsidP="0059309C">
      <w:pPr>
        <w:spacing w:after="0" w:line="240" w:lineRule="auto"/>
      </w:pPr>
      <w:r>
        <w:separator/>
      </w:r>
    </w:p>
  </w:footnote>
  <w:footnote w:type="continuationSeparator" w:id="0">
    <w:p w14:paraId="236665D6" w14:textId="77777777" w:rsidR="0059309C" w:rsidRDefault="0059309C" w:rsidP="00593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88C79" w14:textId="39B1F58B" w:rsidR="0059309C" w:rsidRPr="0059309C" w:rsidRDefault="0059309C">
    <w:pPr>
      <w:pStyle w:val="Zhlav"/>
      <w:rPr>
        <w:rFonts w:ascii="Garamond" w:hAnsi="Garamond"/>
        <w:sz w:val="22"/>
        <w:szCs w:val="22"/>
      </w:rPr>
    </w:pPr>
    <w:r w:rsidRPr="0059309C">
      <w:rPr>
        <w:rFonts w:ascii="Garamond" w:hAnsi="Garamond"/>
        <w:sz w:val="22"/>
        <w:szCs w:val="22"/>
      </w:rPr>
      <w:t>Okresní soud v Chebu, Lidická 1066/1, 350 02 Cheb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6E92"/>
    <w:multiLevelType w:val="hybridMultilevel"/>
    <w:tmpl w:val="24F88666"/>
    <w:lvl w:ilvl="0" w:tplc="6414D24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42815"/>
    <w:multiLevelType w:val="hybridMultilevel"/>
    <w:tmpl w:val="7886413A"/>
    <w:lvl w:ilvl="0" w:tplc="469AFC6A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BFE4625"/>
    <w:multiLevelType w:val="multilevel"/>
    <w:tmpl w:val="4DF87A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71911D88"/>
    <w:multiLevelType w:val="multilevel"/>
    <w:tmpl w:val="FAA2BE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4" w15:restartNumberingAfterBreak="0">
    <w:nsid w:val="7ECC1C31"/>
    <w:multiLevelType w:val="multilevel"/>
    <w:tmpl w:val="FAA2BE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num w:numId="1" w16cid:durableId="1179469626">
    <w:abstractNumId w:val="0"/>
  </w:num>
  <w:num w:numId="2" w16cid:durableId="1878009030">
    <w:abstractNumId w:val="3"/>
  </w:num>
  <w:num w:numId="3" w16cid:durableId="29768967">
    <w:abstractNumId w:val="2"/>
  </w:num>
  <w:num w:numId="4" w16cid:durableId="1922369156">
    <w:abstractNumId w:val="1"/>
  </w:num>
  <w:num w:numId="5" w16cid:durableId="9541393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6D6"/>
    <w:rsid w:val="0001411C"/>
    <w:rsid w:val="00225F44"/>
    <w:rsid w:val="00231140"/>
    <w:rsid w:val="00350B77"/>
    <w:rsid w:val="00561C83"/>
    <w:rsid w:val="0059309C"/>
    <w:rsid w:val="009636D6"/>
    <w:rsid w:val="00976005"/>
    <w:rsid w:val="00EB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CCDE"/>
  <w15:chartTrackingRefBased/>
  <w15:docId w15:val="{E8788C86-02FC-4074-99B3-03BECF8DB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3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63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36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3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636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3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3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3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3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36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636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636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36D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36D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36D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36D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36D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36D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63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63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63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636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63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636D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636D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636D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636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636D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636D6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9636D6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593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309C"/>
  </w:style>
  <w:style w:type="paragraph" w:styleId="Zpat">
    <w:name w:val="footer"/>
    <w:basedOn w:val="Normln"/>
    <w:link w:val="ZpatChar"/>
    <w:uiPriority w:val="99"/>
    <w:unhideWhenUsed/>
    <w:rsid w:val="00593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3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517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Bednár Tomáš</dc:creator>
  <cp:keywords/>
  <dc:description/>
  <cp:lastModifiedBy>Bednár Tomáš</cp:lastModifiedBy>
  <cp:revision>2</cp:revision>
  <dcterms:created xsi:type="dcterms:W3CDTF">2026-03-06T12:30:00Z</dcterms:created>
  <dcterms:modified xsi:type="dcterms:W3CDTF">2026-03-10T08:33:00Z</dcterms:modified>
</cp:coreProperties>
</file>