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rsidR="004E422A" w:rsidRPr="005433A4" w:rsidRDefault="004E422A" w:rsidP="004E422A">
      <w:pPr>
        <w:tabs>
          <w:tab w:val="center" w:pos="1440"/>
        </w:tabs>
        <w:jc w:val="center"/>
        <w:rPr>
          <w:rFonts w:ascii="Garamond" w:hAnsi="Garamond"/>
          <w:b/>
          <w:sz w:val="24"/>
          <w:szCs w:val="24"/>
        </w:rPr>
      </w:pPr>
    </w:p>
    <w:p w:rsidR="004E422A" w:rsidRPr="005433A4" w:rsidRDefault="004E422A" w:rsidP="004E422A">
      <w:pPr>
        <w:tabs>
          <w:tab w:val="center" w:pos="1440"/>
        </w:tabs>
        <w:rPr>
          <w:rFonts w:ascii="Garamond" w:hAnsi="Garamond"/>
          <w:b/>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4500"/>
          <w:tab w:val="left" w:pos="63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rsidR="004E422A" w:rsidRPr="005433A4" w:rsidRDefault="004E422A" w:rsidP="004E422A">
      <w:pPr>
        <w:tabs>
          <w:tab w:val="center" w:pos="1440"/>
          <w:tab w:val="left" w:pos="5580"/>
          <w:tab w:val="left" w:pos="7200"/>
        </w:tabs>
        <w:jc w:val="right"/>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caps/>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rsidR="004E422A" w:rsidRPr="005433A4" w:rsidRDefault="004E422A" w:rsidP="004E422A">
      <w:pPr>
        <w:tabs>
          <w:tab w:val="center" w:pos="1440"/>
          <w:tab w:val="left" w:pos="5580"/>
          <w:tab w:val="left" w:pos="7200"/>
        </w:tabs>
        <w:rPr>
          <w:rFonts w:ascii="Garamond" w:hAnsi="Garamond"/>
          <w:b/>
        </w:rPr>
      </w:pPr>
    </w:p>
    <w:p w:rsidR="004E422A" w:rsidRPr="005433A4" w:rsidRDefault="004E422A" w:rsidP="004E422A">
      <w:pPr>
        <w:tabs>
          <w:tab w:val="center" w:pos="1440"/>
          <w:tab w:val="left" w:pos="5580"/>
          <w:tab w:val="left" w:pos="7200"/>
        </w:tabs>
        <w:rPr>
          <w:rFonts w:ascii="Garamond" w:hAnsi="Garamond"/>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w:t>
        </w:r>
        <w:r w:rsidRPr="005433A4">
          <w:rPr>
            <w:rStyle w:val="Hypertextovodkaz"/>
            <w:rFonts w:ascii="Garamond" w:hAnsi="Garamond"/>
            <w:sz w:val="24"/>
            <w:szCs w:val="24"/>
          </w:rPr>
          <w:t xml:space="preserve"> </w:t>
        </w:r>
        <w:r w:rsidRPr="005433A4">
          <w:rPr>
            <w:rStyle w:val="Hypertextovodkaz"/>
            <w:rFonts w:ascii="Garamond" w:hAnsi="Garamond"/>
            <w:sz w:val="24"/>
            <w:szCs w:val="24"/>
          </w:rPr>
          <w:t>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424D78">
        <w:rPr>
          <w:rFonts w:ascii="Garamond" w:hAnsi="Garamond"/>
          <w:sz w:val="24"/>
          <w:szCs w:val="24"/>
        </w:rPr>
        <w:t>40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43</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44</w:t>
      </w:r>
    </w:p>
    <w:p w:rsidR="004E422A" w:rsidRPr="005433A4" w:rsidRDefault="004E422A" w:rsidP="004E422A">
      <w:pPr>
        <w:tabs>
          <w:tab w:val="center" w:pos="1440"/>
          <w:tab w:val="left" w:pos="5580"/>
          <w:tab w:val="left" w:pos="7200"/>
        </w:tabs>
        <w:rPr>
          <w:rFonts w:ascii="Garamond" w:hAnsi="Garamond"/>
          <w:color w:val="FF0000"/>
          <w:sz w:val="24"/>
          <w:szCs w:val="24"/>
        </w:rPr>
      </w:pP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EXE,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174E76">
        <w:rPr>
          <w:rFonts w:ascii="Garamond" w:hAnsi="Garamond"/>
          <w:sz w:val="24"/>
          <w:szCs w:val="24"/>
        </w:rPr>
        <w:t>. 53</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p>
    <w:p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rsidR="004E422A" w:rsidRPr="005433A4" w:rsidRDefault="004E422A" w:rsidP="00557F49">
      <w:pPr>
        <w:pStyle w:val="Nadpis1"/>
        <w:spacing w:before="400" w:after="52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rsidR="004E422A" w:rsidRPr="005433A4" w:rsidRDefault="004E422A" w:rsidP="004E422A">
      <w:pPr>
        <w:tabs>
          <w:tab w:val="left" w:pos="0"/>
        </w:tabs>
        <w:rPr>
          <w:rFonts w:ascii="Garamond" w:hAnsi="Garamond"/>
          <w:sz w:val="12"/>
          <w:szCs w:val="12"/>
        </w:rPr>
      </w:pPr>
    </w:p>
    <w:p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rsidR="004E422A" w:rsidRPr="005433A4" w:rsidRDefault="004E422A" w:rsidP="004E422A">
      <w:pPr>
        <w:tabs>
          <w:tab w:val="left" w:pos="0"/>
        </w:tabs>
        <w:jc w:val="both"/>
        <w:rPr>
          <w:rFonts w:ascii="Garamond" w:hAnsi="Garamond"/>
          <w:i/>
          <w:sz w:val="12"/>
          <w:szCs w:val="12"/>
        </w:rPr>
      </w:pPr>
    </w:p>
    <w:p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rsidR="004E422A" w:rsidRPr="005433A4" w:rsidRDefault="004E422A" w:rsidP="004E422A">
      <w:pPr>
        <w:tabs>
          <w:tab w:val="left" w:pos="0"/>
        </w:tabs>
        <w:jc w:val="both"/>
        <w:rPr>
          <w:rFonts w:ascii="Garamond" w:hAnsi="Garamond"/>
          <w:sz w:val="12"/>
          <w:szCs w:val="12"/>
        </w:rPr>
      </w:pPr>
    </w:p>
    <w:p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rsidR="004E422A" w:rsidRPr="005433A4" w:rsidRDefault="004E422A" w:rsidP="004E422A">
      <w:pPr>
        <w:tabs>
          <w:tab w:val="left" w:pos="0"/>
        </w:tabs>
        <w:jc w:val="both"/>
        <w:rPr>
          <w:rFonts w:ascii="Garamond" w:hAnsi="Garamond"/>
          <w:sz w:val="12"/>
          <w:szCs w:val="12"/>
        </w:rPr>
      </w:pPr>
    </w:p>
    <w:p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lastRenderedPageBreak/>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rsidR="004E422A" w:rsidRPr="005433A4" w:rsidRDefault="004E422A" w:rsidP="004E422A">
      <w:pPr>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rsidR="004E422A" w:rsidRPr="005433A4" w:rsidRDefault="004E422A" w:rsidP="004E422A">
      <w:pPr>
        <w:jc w:val="both"/>
        <w:rPr>
          <w:rFonts w:ascii="Garamond" w:hAnsi="Garamond"/>
          <w:i/>
          <w:sz w:val="24"/>
          <w:szCs w:val="24"/>
        </w:rPr>
      </w:pP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ISSP. Zpracovává mzdy, provádí odvody a veškeré výkazy týkající se mzdové agendy svědků a přísedících. </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rsidR="004E422A" w:rsidRPr="005433A4" w:rsidRDefault="004E422A" w:rsidP="004E422A">
      <w:pPr>
        <w:ind w:left="5664" w:firstLine="708"/>
        <w:jc w:val="both"/>
        <w:rPr>
          <w:rFonts w:ascii="Garamond" w:hAnsi="Garamond"/>
          <w:i/>
          <w:sz w:val="24"/>
          <w:szCs w:val="24"/>
        </w:rPr>
      </w:pPr>
    </w:p>
    <w:p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RISRE. </w:t>
      </w:r>
    </w:p>
    <w:p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rsidR="004E422A" w:rsidRPr="005433A4" w:rsidRDefault="004E422A" w:rsidP="004E422A">
      <w:pPr>
        <w:jc w:val="both"/>
        <w:rPr>
          <w:rFonts w:ascii="Garamond" w:hAnsi="Garamond"/>
          <w:i/>
          <w:sz w:val="24"/>
          <w:szCs w:val="24"/>
        </w:rPr>
      </w:pP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rsidR="00B92CFD" w:rsidRDefault="00B92CFD" w:rsidP="004C43E8">
      <w:pPr>
        <w:spacing w:after="320"/>
        <w:ind w:right="-40"/>
        <w:jc w:val="both"/>
        <w:rPr>
          <w:rFonts w:ascii="Garamond" w:hAnsi="Garamond"/>
          <w:sz w:val="24"/>
          <w:szCs w:val="24"/>
        </w:rPr>
      </w:pPr>
    </w:p>
    <w:p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lastRenderedPageBreak/>
        <w:t xml:space="preserve">Podle příslušné instrukce a metodického pokynu provádí všechny úkony při vymáhání pohledávek v resortu </w:t>
      </w:r>
      <w:proofErr w:type="spellStart"/>
      <w:r w:rsidRPr="00B92CFD">
        <w:rPr>
          <w:rFonts w:ascii="Garamond" w:hAnsi="Garamond"/>
          <w:sz w:val="24"/>
          <w:szCs w:val="24"/>
        </w:rPr>
        <w:t>MSp</w:t>
      </w:r>
      <w:proofErr w:type="spellEnd"/>
      <w:r w:rsidRPr="00B92CFD">
        <w:rPr>
          <w:rFonts w:ascii="Garamond" w:hAnsi="Garamond"/>
          <w:sz w:val="24"/>
          <w:szCs w:val="24"/>
        </w:rPr>
        <w:t xml:space="preserve"> a jejich předávání k vymáhání. Vyřizuje dožádání na úseku vymáhání pohledávek.</w:t>
      </w: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rsidR="004E422A" w:rsidRPr="005433A4" w:rsidRDefault="004E422A" w:rsidP="004E422A">
      <w:pPr>
        <w:ind w:right="-38"/>
        <w:jc w:val="both"/>
        <w:rPr>
          <w:rFonts w:ascii="Garamond" w:hAnsi="Garamond"/>
          <w:i/>
          <w:sz w:val="24"/>
          <w:szCs w:val="24"/>
        </w:rPr>
      </w:pPr>
    </w:p>
    <w:p w:rsidR="004E422A" w:rsidRPr="005433A4" w:rsidRDefault="004E422A" w:rsidP="00B92CFD">
      <w:pPr>
        <w:spacing w:after="320"/>
        <w:ind w:right="-34"/>
        <w:jc w:val="both"/>
        <w:rPr>
          <w:rFonts w:ascii="Garamond" w:hAnsi="Garamond"/>
          <w:sz w:val="24"/>
          <w:szCs w:val="24"/>
        </w:rPr>
      </w:pPr>
      <w:r w:rsidRPr="005433A4">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p>
    <w:p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rsidR="004E422A" w:rsidRPr="005433A4" w:rsidRDefault="004E422A" w:rsidP="004E422A">
      <w:pPr>
        <w:ind w:firstLine="708"/>
        <w:jc w:val="both"/>
        <w:rPr>
          <w:rFonts w:ascii="Garamond" w:hAnsi="Garamond"/>
          <w:i/>
          <w:sz w:val="24"/>
          <w:szCs w:val="24"/>
        </w:rPr>
      </w:pPr>
    </w:p>
    <w:p w:rsidR="004C43E8" w:rsidRPr="004C43E8" w:rsidRDefault="004E422A" w:rsidP="00B92CFD">
      <w:pPr>
        <w:spacing w:after="28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5433A4">
        <w:rPr>
          <w:rFonts w:ascii="Garamond" w:hAnsi="Garamond"/>
          <w:sz w:val="24"/>
          <w:szCs w:val="24"/>
        </w:rPr>
        <w:lastRenderedPageBreak/>
        <w:t xml:space="preserve">dodržování VKŘ.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Dle potřeby připravuje některé podklady pro odpovědi žadatelům ohledně žádostí 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rsidR="004E422A" w:rsidRPr="00E823BB" w:rsidRDefault="004E422A" w:rsidP="00E823BB">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E823BB">
        <w:rPr>
          <w:rFonts w:ascii="Garamond" w:hAnsi="Garamond"/>
          <w:i/>
          <w:sz w:val="24"/>
          <w:szCs w:val="24"/>
        </w:rPr>
        <w:tab/>
      </w:r>
    </w:p>
    <w:p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w:t>
      </w:r>
      <w:proofErr w:type="spellStart"/>
      <w:r w:rsidRPr="005433A4">
        <w:rPr>
          <w:rFonts w:ascii="Garamond" w:hAnsi="Garamond"/>
          <w:sz w:val="24"/>
          <w:szCs w:val="24"/>
        </w:rPr>
        <w:t>MSp</w:t>
      </w:r>
      <w:proofErr w:type="spellEnd"/>
      <w:r w:rsidRPr="005433A4">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rsidR="00E823BB" w:rsidRPr="004C43E8" w:rsidRDefault="004E422A" w:rsidP="007D4C23">
      <w:pPr>
        <w:spacing w:after="320"/>
        <w:jc w:val="both"/>
        <w:rPr>
          <w:rFonts w:ascii="Garamond" w:hAnsi="Garamond"/>
          <w:color w:val="00B050"/>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Řídí pomocné složky (údržbáře, uklízečky). Slouží pohotovost o víkendech podle rozpisu dosažitelnosti.</w:t>
      </w:r>
      <w:r w:rsidRPr="005433A4">
        <w:rPr>
          <w:rFonts w:ascii="Garamond" w:hAnsi="Garamond"/>
          <w:color w:val="00B050"/>
          <w:sz w:val="24"/>
          <w:szCs w:val="24"/>
        </w:rPr>
        <w:t xml:space="preserve"> </w:t>
      </w:r>
    </w:p>
    <w:p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lastRenderedPageBreak/>
        <w:t>Provádí úkony podle zákona o veřejných zakázkách, sestavuje plány investic a programového financování. Provádí realizaci investičních akcí. Zpracovává agendu registru smluv. Vede agendu související s autoprovozem.</w:t>
      </w:r>
    </w:p>
    <w:p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4E422A">
      <w:pPr>
        <w:rPr>
          <w:rFonts w:ascii="Garamond" w:hAnsi="Garamond"/>
          <w:b/>
          <w:sz w:val="24"/>
          <w:szCs w:val="24"/>
        </w:rPr>
      </w:pPr>
    </w:p>
    <w:p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rsidR="004E422A" w:rsidRPr="005433A4" w:rsidRDefault="004E422A" w:rsidP="004E422A">
      <w:pPr>
        <w:ind w:left="720"/>
        <w:jc w:val="center"/>
        <w:rPr>
          <w:rFonts w:ascii="Garamond" w:hAnsi="Garamond"/>
        </w:rPr>
      </w:pPr>
    </w:p>
    <w:p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rsidR="004E422A" w:rsidRPr="005433A4" w:rsidRDefault="004E422A" w:rsidP="004E422A">
      <w:pPr>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rsidR="004E422A" w:rsidRPr="005433A4" w:rsidRDefault="004E422A" w:rsidP="004E422A">
      <w:pPr>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rsidR="004E422A" w:rsidRPr="005433A4" w:rsidRDefault="004E422A" w:rsidP="004E422A">
      <w:pPr>
        <w:pStyle w:val="Zkladntextodsazen3"/>
        <w:autoSpaceDE w:val="0"/>
        <w:autoSpaceDN w:val="0"/>
        <w:spacing w:after="0"/>
        <w:ind w:left="714"/>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rsidR="004E422A" w:rsidRPr="005433A4" w:rsidRDefault="004E422A" w:rsidP="004E422A">
      <w:pPr>
        <w:pStyle w:val="Zkladntextodsazen3"/>
        <w:autoSpaceDE w:val="0"/>
        <w:autoSpaceDN w:val="0"/>
        <w:spacing w:after="0"/>
        <w:ind w:left="0"/>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rsidR="004E422A" w:rsidRPr="005433A4" w:rsidRDefault="004E422A" w:rsidP="004E422A">
      <w:pPr>
        <w:pStyle w:val="Zkladntextodsazen3"/>
        <w:spacing w:after="0"/>
        <w:ind w:left="714"/>
        <w:jc w:val="both"/>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ZŘS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rsidR="004E422A" w:rsidRPr="005433A4" w:rsidRDefault="004E422A" w:rsidP="004E422A">
      <w:pPr>
        <w:ind w:left="720"/>
        <w:jc w:val="both"/>
        <w:rPr>
          <w:rFonts w:ascii="Garamond" w:hAnsi="Garamond"/>
          <w:sz w:val="24"/>
          <w:szCs w:val="24"/>
        </w:rPr>
      </w:pPr>
    </w:p>
    <w:p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E422A" w:rsidRPr="005433A4" w:rsidRDefault="004E422A" w:rsidP="004E422A">
      <w:pPr>
        <w:pStyle w:val="Odstavecseseznamem"/>
        <w:ind w:right="-32"/>
        <w:jc w:val="both"/>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4E422A" w:rsidRPr="005433A4" w:rsidRDefault="004E422A" w:rsidP="004E422A">
      <w:pPr>
        <w:pStyle w:val="Odstavecseseznamem"/>
        <w:spacing w:after="240"/>
        <w:ind w:right="-34"/>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rsidR="004E422A" w:rsidRPr="005433A4" w:rsidRDefault="004E422A" w:rsidP="004E422A">
      <w:pPr>
        <w:rPr>
          <w:rFonts w:ascii="Garamond" w:hAnsi="Garamond"/>
          <w:sz w:val="20"/>
          <w:szCs w:val="20"/>
        </w:rPr>
      </w:pPr>
    </w:p>
    <w:p w:rsidR="004E422A" w:rsidRPr="005433A4" w:rsidRDefault="004E422A" w:rsidP="004E422A">
      <w:pPr>
        <w:suppressAutoHyphens/>
        <w:ind w:left="709" w:hanging="709"/>
        <w:jc w:val="both"/>
        <w:rPr>
          <w:rFonts w:ascii="Garamond" w:hAnsi="Garamond"/>
          <w:sz w:val="24"/>
          <w:szCs w:val="24"/>
        </w:rPr>
      </w:pPr>
      <w:proofErr w:type="gramStart"/>
      <w:r w:rsidRPr="005433A4">
        <w:rPr>
          <w:rFonts w:ascii="Garamond" w:hAnsi="Garamond"/>
          <w:sz w:val="24"/>
          <w:szCs w:val="24"/>
        </w:rPr>
        <w:t>4.2.1</w:t>
      </w:r>
      <w:proofErr w:type="gramEnd"/>
      <w:r w:rsidRPr="005433A4">
        <w:rPr>
          <w:rFonts w:ascii="Garamond" w:hAnsi="Garamond"/>
          <w:sz w:val="24"/>
          <w:szCs w:val="24"/>
        </w:rPr>
        <w:t xml:space="preserve"> </w:t>
      </w:r>
      <w:r w:rsidRPr="005433A4">
        <w:rPr>
          <w:rFonts w:ascii="Garamond" w:hAnsi="Garamond"/>
          <w:sz w:val="24"/>
          <w:szCs w:val="24"/>
        </w:rPr>
        <w:tab/>
        <w:t xml:space="preserve">Při zápisu nové věci budou vynechána soudní oddělení, v nichž působí soudce, </w:t>
      </w:r>
      <w:proofErr w:type="gramStart"/>
      <w:r w:rsidRPr="005433A4">
        <w:rPr>
          <w:rFonts w:ascii="Garamond" w:hAnsi="Garamond"/>
          <w:sz w:val="24"/>
          <w:szCs w:val="24"/>
        </w:rPr>
        <w:t>který:</w:t>
      </w:r>
      <w:proofErr w:type="gramEnd"/>
      <w:r w:rsidRPr="005433A4">
        <w:rPr>
          <w:rFonts w:ascii="Garamond" w:hAnsi="Garamond"/>
          <w:sz w:val="24"/>
          <w:szCs w:val="24"/>
        </w:rPr>
        <w:t xml:space="preserve"> </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4E422A" w:rsidRPr="005433A4" w:rsidRDefault="004E422A" w:rsidP="004E422A">
      <w:pPr>
        <w:numPr>
          <w:ilvl w:val="0"/>
          <w:numId w:val="7"/>
        </w:numPr>
        <w:suppressAutoHyphens/>
        <w:jc w:val="both"/>
        <w:rPr>
          <w:rFonts w:ascii="Garamond" w:hAnsi="Garamond"/>
          <w:sz w:val="24"/>
          <w:szCs w:val="24"/>
        </w:rPr>
      </w:pPr>
      <w:proofErr w:type="gramStart"/>
      <w:r w:rsidRPr="005433A4">
        <w:rPr>
          <w:rFonts w:ascii="Garamond" w:hAnsi="Garamond"/>
          <w:sz w:val="24"/>
          <w:szCs w:val="24"/>
        </w:rPr>
        <w:t>se účastnil</w:t>
      </w:r>
      <w:proofErr w:type="gramEnd"/>
      <w:r w:rsidRPr="005433A4">
        <w:rPr>
          <w:rFonts w:ascii="Garamond" w:hAnsi="Garamond"/>
          <w:sz w:val="24"/>
          <w:szCs w:val="24"/>
        </w:rPr>
        <w:t xml:space="preserve"> neodkladného a neopakovatelného úkonu podle § 158a TŘ,</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 spolupráci ve věcech trestních.</w:t>
      </w:r>
    </w:p>
    <w:p w:rsidR="004E422A" w:rsidRPr="005433A4" w:rsidRDefault="004E422A" w:rsidP="004E422A">
      <w:pPr>
        <w:suppressAutoHyphens/>
        <w:ind w:left="1203"/>
        <w:jc w:val="both"/>
        <w:rPr>
          <w:rFonts w:ascii="Garamond" w:hAnsi="Garamond"/>
          <w:sz w:val="12"/>
          <w:szCs w:val="12"/>
        </w:rPr>
      </w:pPr>
    </w:p>
    <w:p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rsidR="001D3048" w:rsidRPr="001D3048" w:rsidRDefault="001D3048" w:rsidP="001D3048">
      <w:pPr>
        <w:autoSpaceDE w:val="0"/>
        <w:autoSpaceDN w:val="0"/>
        <w:adjustRightInd w:val="0"/>
        <w:spacing w:after="20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w:t>
      </w:r>
      <w:proofErr w:type="gramStart"/>
      <w:r w:rsidRPr="001D3048">
        <w:rPr>
          <w:rFonts w:ascii="Garamond" w:hAnsi="Garamond"/>
          <w:sz w:val="24"/>
          <w:szCs w:val="24"/>
        </w:rPr>
        <w:t>zákoníku</w:t>
      </w:r>
      <w:proofErr w:type="gramEnd"/>
      <w:r w:rsidRPr="001D3048">
        <w:rPr>
          <w:rFonts w:ascii="Garamond" w:hAnsi="Garamond"/>
          <w:sz w:val="24"/>
          <w:szCs w:val="24"/>
        </w:rPr>
        <w:t xml:space="preserve">,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rsidR="004E422A" w:rsidRPr="005433A4" w:rsidRDefault="001D3048" w:rsidP="000C4572">
      <w:pPr>
        <w:ind w:right="-108"/>
        <w:rPr>
          <w:rFonts w:ascii="Garamond" w:hAnsi="Garamond"/>
          <w:sz w:val="24"/>
          <w:szCs w:val="24"/>
        </w:rPr>
      </w:pPr>
      <w:r>
        <w:rPr>
          <w:rFonts w:ascii="Garamond" w:hAnsi="Garamond"/>
          <w:sz w:val="24"/>
          <w:szCs w:val="24"/>
        </w:rPr>
        <w:lastRenderedPageBreak/>
        <w:tab/>
      </w:r>
      <w:r w:rsidR="004E422A" w:rsidRPr="005433A4">
        <w:rPr>
          <w:rFonts w:ascii="Garamond" w:hAnsi="Garamond"/>
          <w:sz w:val="24"/>
          <w:szCs w:val="24"/>
        </w:rPr>
        <w:t>- trestné činy obecně nebezpečné (§ 283-287 TZ),</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rsidR="004E422A" w:rsidRPr="005433A4" w:rsidRDefault="004E422A" w:rsidP="004E422A">
      <w:pPr>
        <w:suppressAutoHyphens/>
        <w:ind w:left="720"/>
        <w:jc w:val="both"/>
        <w:rPr>
          <w:rFonts w:ascii="Garamond" w:hAnsi="Garamond"/>
          <w:sz w:val="20"/>
          <w:szCs w:val="20"/>
        </w:rPr>
      </w:pPr>
    </w:p>
    <w:p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rsidR="004E422A" w:rsidRPr="005433A4" w:rsidRDefault="004E422A" w:rsidP="004E422A">
      <w:pPr>
        <w:pStyle w:val="Odstavecseseznamem"/>
        <w:rPr>
          <w:rFonts w:ascii="Garamond" w:hAnsi="Garamond"/>
          <w:sz w:val="20"/>
          <w:szCs w:val="20"/>
        </w:rPr>
      </w:pPr>
    </w:p>
    <w:p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rsidR="004E422A" w:rsidRPr="005433A4" w:rsidRDefault="004E422A" w:rsidP="004E422A">
      <w:pPr>
        <w:suppressAutoHyphens/>
        <w:ind w:right="-108"/>
        <w:jc w:val="both"/>
        <w:rPr>
          <w:rFonts w:ascii="Garamond" w:hAnsi="Garamond"/>
          <w:sz w:val="20"/>
          <w:szCs w:val="20"/>
        </w:rPr>
      </w:pPr>
    </w:p>
    <w:p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w:t>
      </w:r>
      <w:r w:rsidRPr="005433A4">
        <w:rPr>
          <w:rFonts w:ascii="Garamond" w:hAnsi="Garamond"/>
          <w:sz w:val="24"/>
          <w:szCs w:val="24"/>
        </w:rPr>
        <w:lastRenderedPageBreak/>
        <w:t xml:space="preserve">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rsidR="004E422A" w:rsidRPr="005433A4" w:rsidRDefault="004E422A" w:rsidP="004E422A">
      <w:pPr>
        <w:suppressAutoHyphens/>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r w:rsidRPr="005433A4">
        <w:rPr>
          <w:rFonts w:ascii="Garamond" w:hAnsi="Garamond"/>
          <w:b/>
          <w:sz w:val="24"/>
          <w:szCs w:val="24"/>
        </w:rPr>
        <w:t>Ntm</w:t>
      </w:r>
      <w:proofErr w:type="spellEnd"/>
      <w:r w:rsidRPr="005433A4">
        <w:rPr>
          <w:rFonts w:ascii="Garamond" w:hAnsi="Garamond"/>
          <w:b/>
          <w:sz w:val="24"/>
          <w:szCs w:val="24"/>
        </w:rPr>
        <w:t xml:space="preserve">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rsidR="004E422A" w:rsidRPr="005433A4" w:rsidRDefault="004E422A" w:rsidP="004E422A">
      <w:pPr>
        <w:pStyle w:val="Odstavecseseznamem"/>
        <w:ind w:right="-32"/>
        <w:rPr>
          <w:rFonts w:ascii="Garamond" w:hAnsi="Garamond"/>
          <w:sz w:val="20"/>
          <w:szCs w:val="20"/>
        </w:rPr>
      </w:pPr>
    </w:p>
    <w:p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4E422A" w:rsidRPr="005433A4" w:rsidRDefault="004E422A" w:rsidP="004E422A">
      <w:pPr>
        <w:ind w:right="-108"/>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w:t>
      </w:r>
      <w:r w:rsidRPr="005433A4">
        <w:rPr>
          <w:rFonts w:ascii="Garamond" w:hAnsi="Garamond"/>
          <w:sz w:val="24"/>
          <w:szCs w:val="24"/>
        </w:rPr>
        <w:lastRenderedPageBreak/>
        <w:t xml:space="preserve">Obdobně platí v případě podání návrhu na vzetí do vazby nezadržené osoby ve věci, kdy soudce již dříve rozhodl o propuštění stejné osoby ze zadržení na svobodu při shledání některého z důvodů vazby a nahrazení vazby jiným opatřením.    </w:t>
      </w:r>
    </w:p>
    <w:p w:rsidR="004E422A" w:rsidRPr="005433A4" w:rsidRDefault="004E422A" w:rsidP="004E422A">
      <w:pPr>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4E422A" w:rsidRPr="005433A4" w:rsidRDefault="004E422A" w:rsidP="004E422A">
      <w:pPr>
        <w:ind w:right="-32"/>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rsidR="004E422A" w:rsidRPr="005433A4" w:rsidRDefault="004E422A" w:rsidP="004E422A">
      <w:pPr>
        <w:ind w:right="-32"/>
        <w:jc w:val="both"/>
        <w:rPr>
          <w:rFonts w:ascii="Garamond" w:hAnsi="Garamond"/>
          <w:strike/>
          <w:sz w:val="24"/>
          <w:szCs w:val="24"/>
        </w:rPr>
      </w:pPr>
    </w:p>
    <w:p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rsidR="004E422A" w:rsidRPr="005433A4" w:rsidRDefault="004E422A" w:rsidP="004E422A">
      <w:pPr>
        <w:pStyle w:val="Zkladntext"/>
        <w:spacing w:before="0" w:beforeAutospacing="0" w:after="0" w:afterAutospacing="0"/>
        <w:jc w:val="both"/>
        <w:rPr>
          <w:rFonts w:ascii="Garamond" w:hAnsi="Garamond"/>
          <w:bCs/>
          <w:color w:val="auto"/>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w:t>
      </w:r>
      <w:proofErr w:type="gramStart"/>
      <w:r w:rsidRPr="005433A4">
        <w:rPr>
          <w:rFonts w:ascii="Garamond" w:hAnsi="Garamond"/>
          <w:sz w:val="24"/>
          <w:szCs w:val="24"/>
        </w:rPr>
        <w:t>soudce, který</w:t>
      </w:r>
      <w:proofErr w:type="gramEnd"/>
      <w:r w:rsidRPr="005433A4">
        <w:rPr>
          <w:rFonts w:ascii="Garamond" w:hAnsi="Garamond"/>
          <w:sz w:val="24"/>
          <w:szCs w:val="24"/>
        </w:rPr>
        <w:t xml:space="preserve"> rozhodnutí ve věci samé vydal, </w:t>
      </w:r>
      <w:proofErr w:type="gramStart"/>
      <w:r w:rsidRPr="005433A4">
        <w:rPr>
          <w:rFonts w:ascii="Garamond" w:hAnsi="Garamond"/>
          <w:sz w:val="24"/>
          <w:szCs w:val="24"/>
        </w:rPr>
        <w:t>již</w:t>
      </w:r>
      <w:proofErr w:type="gramEnd"/>
      <w:r w:rsidRPr="005433A4">
        <w:rPr>
          <w:rFonts w:ascii="Garamond" w:hAnsi="Garamond"/>
          <w:sz w:val="24"/>
          <w:szCs w:val="24"/>
        </w:rPr>
        <w:t xml:space="preserve"> na soudě nepůsobí nebo je zařazen k vyřizování jiné agendy, úkony učiní soudce, který je zařazen do soudního oddělení, ve kterém </w:t>
      </w:r>
      <w:r w:rsidRPr="005433A4">
        <w:rPr>
          <w:rFonts w:ascii="Garamond" w:hAnsi="Garamond"/>
          <w:sz w:val="24"/>
          <w:szCs w:val="24"/>
        </w:rPr>
        <w:lastRenderedPageBreak/>
        <w:t xml:space="preserve">bylo rozhodnutí vydáno. Pokud </w:t>
      </w:r>
      <w:proofErr w:type="gramStart"/>
      <w:r w:rsidRPr="005433A4">
        <w:rPr>
          <w:rFonts w:ascii="Garamond" w:hAnsi="Garamond"/>
          <w:sz w:val="24"/>
          <w:szCs w:val="24"/>
        </w:rPr>
        <w:t>je</w:t>
      </w:r>
      <w:proofErr w:type="gramEnd"/>
      <w:r w:rsidRPr="005433A4">
        <w:rPr>
          <w:rFonts w:ascii="Garamond" w:hAnsi="Garamond"/>
          <w:sz w:val="24"/>
          <w:szCs w:val="24"/>
        </w:rPr>
        <w:t xml:space="preserve"> takové je soudní oddělení neobsazeno, učiní úkony soudce v soudním oddělení téže agendy, následujícím po takovém neobsazeném soudním oddělení.</w:t>
      </w:r>
    </w:p>
    <w:p w:rsidR="004E422A" w:rsidRPr="005433A4" w:rsidRDefault="004E422A" w:rsidP="004E422A">
      <w:pPr>
        <w:autoSpaceDE w:val="0"/>
        <w:autoSpaceDN w:val="0"/>
        <w:jc w:val="both"/>
        <w:rPr>
          <w:rFonts w:ascii="Garamond" w:hAnsi="Garamond"/>
          <w:bCs/>
          <w:sz w:val="24"/>
          <w:szCs w:val="24"/>
        </w:rPr>
      </w:pPr>
    </w:p>
    <w:p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rsidR="004E422A" w:rsidRPr="005433A4" w:rsidRDefault="004E422A" w:rsidP="004E422A">
      <w:pPr>
        <w:ind w:left="709" w:hanging="283"/>
        <w:jc w:val="both"/>
        <w:rPr>
          <w:rFonts w:ascii="Garamond" w:hAnsi="Garamond"/>
          <w:b/>
          <w:bCs/>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lastRenderedPageBreak/>
        <w:t>4.3.10</w:t>
      </w:r>
      <w:proofErr w:type="gramEnd"/>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t>4.3.11</w:t>
      </w:r>
      <w:proofErr w:type="gramEnd"/>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spacing w:after="120"/>
        <w:ind w:left="709" w:hanging="709"/>
        <w:jc w:val="both"/>
        <w:rPr>
          <w:rFonts w:ascii="Garamond" w:hAnsi="Garamond"/>
          <w:sz w:val="24"/>
          <w:szCs w:val="24"/>
        </w:rPr>
      </w:pPr>
      <w:proofErr w:type="gramStart"/>
      <w:r w:rsidRPr="005433A4">
        <w:rPr>
          <w:rFonts w:ascii="Garamond" w:hAnsi="Garamond"/>
          <w:sz w:val="24"/>
          <w:szCs w:val="24"/>
        </w:rPr>
        <w:t>4.3.12</w:t>
      </w:r>
      <w:proofErr w:type="gramEnd"/>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4.3.13</w:t>
      </w:r>
      <w:proofErr w:type="gramEnd"/>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w:t>
      </w:r>
      <w:proofErr w:type="gramStart"/>
      <w:r w:rsidRPr="005433A4">
        <w:rPr>
          <w:rFonts w:ascii="Garamond" w:hAnsi="Garamond"/>
          <w:sz w:val="24"/>
          <w:szCs w:val="24"/>
        </w:rPr>
        <w:t xml:space="preserve">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roofErr w:type="gramEnd"/>
    </w:p>
    <w:p w:rsidR="004E422A" w:rsidRPr="005433A4" w:rsidRDefault="004E422A" w:rsidP="004E422A">
      <w:pPr>
        <w:ind w:left="709" w:hanging="709"/>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4.3.14</w:t>
      </w:r>
      <w:proofErr w:type="gramEnd"/>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rsidR="004E422A" w:rsidRPr="005433A4" w:rsidRDefault="004E422A" w:rsidP="004E422A">
      <w:pPr>
        <w:ind w:left="709" w:hanging="425"/>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4.3.15</w:t>
      </w:r>
      <w:proofErr w:type="gramEnd"/>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4E422A" w:rsidRPr="005433A4" w:rsidRDefault="004E422A" w:rsidP="004E422A">
      <w:pPr>
        <w:pStyle w:val="Bezmezer"/>
        <w:ind w:hanging="425"/>
        <w:jc w:val="both"/>
        <w:rPr>
          <w:rFonts w:ascii="Garamond" w:hAnsi="Garamond" w:cs="Times New Roman"/>
          <w:iCs/>
          <w:strike/>
          <w:sz w:val="24"/>
          <w:szCs w:val="24"/>
        </w:rPr>
      </w:pPr>
    </w:p>
    <w:p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do oddílu OSTATNÍ – OPATRO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rsidR="004E422A" w:rsidRPr="005433A4" w:rsidRDefault="004E422A" w:rsidP="004E422A">
      <w:pPr>
        <w:pStyle w:val="Odstavecseseznamem"/>
        <w:ind w:hanging="425"/>
        <w:rPr>
          <w:rFonts w:ascii="Garamond" w:hAnsi="Garamond"/>
          <w:sz w:val="24"/>
          <w:szCs w:val="24"/>
        </w:rPr>
      </w:pPr>
    </w:p>
    <w:p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rsidR="004E422A" w:rsidRPr="005433A4" w:rsidRDefault="004E422A" w:rsidP="004E422A">
      <w:pPr>
        <w:pStyle w:val="Odstavecseseznamem"/>
        <w:rPr>
          <w:rFonts w:ascii="Garamond" w:hAnsi="Garamond"/>
          <w:sz w:val="24"/>
          <w:szCs w:val="24"/>
        </w:rPr>
      </w:pPr>
    </w:p>
    <w:p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rozhodnutí, jehož výkon je požadován.</w:t>
      </w:r>
    </w:p>
    <w:p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w:t>
      </w:r>
      <w:proofErr w:type="gramStart"/>
      <w:r w:rsidRPr="005433A4">
        <w:rPr>
          <w:rFonts w:ascii="Garamond" w:hAnsi="Garamond"/>
          <w:sz w:val="24"/>
          <w:szCs w:val="24"/>
        </w:rPr>
        <w:t>4.3.13</w:t>
      </w:r>
      <w:proofErr w:type="gramEnd"/>
      <w:r w:rsidRPr="005433A4">
        <w:rPr>
          <w:rFonts w:ascii="Garamond" w:hAnsi="Garamond"/>
          <w:sz w:val="24"/>
          <w:szCs w:val="24"/>
        </w:rPr>
        <w:t xml:space="preserve">,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 xml:space="preserve">v soudním oddělení 18 Mgr. Pavly Tupé, se přidělují Mgr. Milanovi Homolkovi. Dále se Mgr. Milanovi Homolkovi přidělují nově napadlé věci dle pravidel pro přidělování věcí občanskoprávní agendy body </w:t>
      </w:r>
      <w:proofErr w:type="gramStart"/>
      <w:r w:rsidRPr="005433A4">
        <w:rPr>
          <w:rFonts w:ascii="Garamond" w:hAnsi="Garamond"/>
          <w:sz w:val="24"/>
          <w:szCs w:val="24"/>
        </w:rPr>
        <w:t>4.3.</w:t>
      </w:r>
      <w:r>
        <w:rPr>
          <w:rFonts w:ascii="Garamond" w:hAnsi="Garamond"/>
          <w:sz w:val="24"/>
          <w:szCs w:val="24"/>
        </w:rPr>
        <w:t>1</w:t>
      </w:r>
      <w:r w:rsidRPr="005433A4">
        <w:rPr>
          <w:rFonts w:ascii="Garamond" w:hAnsi="Garamond"/>
          <w:sz w:val="24"/>
          <w:szCs w:val="24"/>
        </w:rPr>
        <w:t>3</w:t>
      </w:r>
      <w:proofErr w:type="gramEnd"/>
      <w:r w:rsidRPr="005433A4">
        <w:rPr>
          <w:rFonts w:ascii="Garamond" w:hAnsi="Garamond"/>
          <w:sz w:val="24"/>
          <w:szCs w:val="24"/>
        </w:rPr>
        <w:t>, 4.3.14 a 4.3.18, pokud bylo v předcházejícím řízení rozhodováno soudkyní Mgr. Pavlou Tupou</w:t>
      </w:r>
      <w:r>
        <w:rPr>
          <w:rFonts w:ascii="Garamond" w:hAnsi="Garamond"/>
          <w:sz w:val="24"/>
          <w:szCs w:val="24"/>
        </w:rPr>
        <w:t>.</w:t>
      </w:r>
    </w:p>
    <w:p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Pr="005433A4" w:rsidRDefault="002B6D90"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Podzimková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w:t>
            </w:r>
            <w:proofErr w:type="gramStart"/>
            <w:r w:rsidRPr="002C4C5E">
              <w:rPr>
                <w:rFonts w:ascii="Garamond" w:hAnsi="Garamond"/>
                <w:sz w:val="24"/>
                <w:szCs w:val="24"/>
              </w:rPr>
              <w:t>zákoníku</w:t>
            </w:r>
            <w:proofErr w:type="gramEnd"/>
            <w:r w:rsidRPr="002C4C5E">
              <w:rPr>
                <w:rFonts w:ascii="Garamond" w:hAnsi="Garamond"/>
                <w:sz w:val="24"/>
                <w:szCs w:val="24"/>
              </w:rPr>
              <w:t xml:space="preserve">,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rsidR="000C4572" w:rsidRDefault="000C4572" w:rsidP="00C602A1">
            <w:pPr>
              <w:rPr>
                <w:rFonts w:ascii="Garamond" w:hAnsi="Garamond"/>
                <w:sz w:val="24"/>
                <w:szCs w:val="24"/>
              </w:rPr>
            </w:pPr>
            <w:r>
              <w:rPr>
                <w:rFonts w:ascii="Garamond" w:hAnsi="Garamond"/>
                <w:sz w:val="24"/>
                <w:szCs w:val="24"/>
              </w:rPr>
              <w:t>100 %</w:t>
            </w:r>
          </w:p>
          <w:p w:rsidR="000C4572" w:rsidRDefault="000C4572" w:rsidP="000C4572">
            <w:pPr>
              <w:spacing w:before="1200"/>
              <w:rPr>
                <w:rFonts w:ascii="Garamond" w:hAnsi="Garamond"/>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88015F" w:rsidRDefault="0088015F" w:rsidP="00C602A1">
            <w:pPr>
              <w:rPr>
                <w:rFonts w:ascii="Garamond" w:hAnsi="Garamond"/>
                <w:b/>
                <w:sz w:val="24"/>
                <w:szCs w:val="24"/>
              </w:rPr>
            </w:pPr>
            <w:r>
              <w:rPr>
                <w:rFonts w:ascii="Garamond" w:hAnsi="Garamond"/>
                <w:b/>
                <w:sz w:val="24"/>
                <w:szCs w:val="24"/>
              </w:rPr>
              <w:t>100 %</w:t>
            </w:r>
          </w:p>
          <w:p w:rsidR="0088015F" w:rsidRPr="0088015F" w:rsidRDefault="0088015F" w:rsidP="00C602A1">
            <w:pPr>
              <w:rPr>
                <w:rFonts w:ascii="Garamond" w:hAnsi="Garamond"/>
                <w:b/>
                <w:sz w:val="24"/>
                <w:szCs w:val="24"/>
              </w:rPr>
            </w:pPr>
            <w:r>
              <w:rPr>
                <w:rFonts w:ascii="Garamond" w:hAnsi="Garamond"/>
                <w:b/>
                <w:sz w:val="24"/>
                <w:szCs w:val="24"/>
              </w:rPr>
              <w:t>100 %</w:t>
            </w:r>
          </w:p>
          <w:p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rsidR="004E422A" w:rsidRPr="005433A4" w:rsidRDefault="004E422A" w:rsidP="00C602A1">
            <w:pPr>
              <w:rPr>
                <w:rFonts w:ascii="Garamond" w:hAnsi="Garamond"/>
                <w:sz w:val="24"/>
                <w:szCs w:val="24"/>
              </w:rPr>
            </w:pPr>
            <w:r w:rsidRPr="005433A4">
              <w:rPr>
                <w:rFonts w:ascii="Garamond" w:hAnsi="Garamond"/>
                <w:sz w:val="24"/>
                <w:szCs w:val="24"/>
              </w:rPr>
              <w:t>JUDr. Miloslav Chadim</w:t>
            </w:r>
          </w:p>
          <w:p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Mgr. František Kurka</w:t>
            </w:r>
          </w:p>
          <w:p w:rsidR="004E422A" w:rsidRPr="005433A4" w:rsidRDefault="004E422A" w:rsidP="00C602A1">
            <w:pPr>
              <w:rPr>
                <w:rFonts w:ascii="Garamond" w:hAnsi="Garamond"/>
                <w:sz w:val="24"/>
                <w:szCs w:val="24"/>
              </w:rPr>
            </w:pPr>
            <w:r w:rsidRPr="005433A4">
              <w:rPr>
                <w:rFonts w:ascii="Garamond" w:hAnsi="Garamond"/>
                <w:sz w:val="24"/>
                <w:szCs w:val="24"/>
              </w:rPr>
              <w:t>Josef Skočil</w:t>
            </w:r>
          </w:p>
          <w:p w:rsidR="004E422A" w:rsidRPr="005433A4" w:rsidRDefault="004E422A" w:rsidP="00C602A1">
            <w:pPr>
              <w:rPr>
                <w:rFonts w:ascii="Garamond" w:hAnsi="Garamond"/>
                <w:sz w:val="24"/>
                <w:szCs w:val="24"/>
              </w:rPr>
            </w:pPr>
            <w:r w:rsidRPr="005433A4">
              <w:rPr>
                <w:rFonts w:ascii="Garamond" w:hAnsi="Garamond"/>
                <w:sz w:val="24"/>
                <w:szCs w:val="24"/>
              </w:rPr>
              <w:t>Petr Vodrážka</w:t>
            </w:r>
          </w:p>
          <w:p w:rsidR="004E422A" w:rsidRPr="005433A4" w:rsidRDefault="004E422A" w:rsidP="00C602A1">
            <w:pPr>
              <w:rPr>
                <w:rFonts w:ascii="Garamond" w:hAnsi="Garamond"/>
                <w:sz w:val="24"/>
                <w:szCs w:val="24"/>
              </w:rPr>
            </w:pPr>
            <w:r w:rsidRPr="005433A4">
              <w:rPr>
                <w:rFonts w:ascii="Garamond" w:hAnsi="Garamond"/>
                <w:sz w:val="24"/>
                <w:szCs w:val="24"/>
              </w:rPr>
              <w:t>Petr Jiráň</w:t>
            </w:r>
          </w:p>
          <w:p w:rsidR="004E422A" w:rsidRPr="005433A4" w:rsidRDefault="004E422A" w:rsidP="00C602A1">
            <w:pPr>
              <w:rPr>
                <w:rFonts w:ascii="Garamond" w:hAnsi="Garamond"/>
                <w:sz w:val="24"/>
                <w:szCs w:val="24"/>
              </w:rPr>
            </w:pPr>
            <w:r w:rsidRPr="005433A4">
              <w:rPr>
                <w:rFonts w:ascii="Garamond" w:hAnsi="Garamond"/>
                <w:sz w:val="24"/>
                <w:szCs w:val="24"/>
              </w:rPr>
              <w:t>Božena Kavková</w:t>
            </w:r>
          </w:p>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88015F" w:rsidRDefault="0088015F" w:rsidP="00C602A1">
            <w:pPr>
              <w:rPr>
                <w:rFonts w:ascii="Garamond" w:hAnsi="Garamond"/>
                <w:sz w:val="24"/>
                <w:szCs w:val="24"/>
              </w:rPr>
            </w:pPr>
            <w:r>
              <w:rPr>
                <w:rFonts w:ascii="Garamond" w:hAnsi="Garamond"/>
                <w:sz w:val="24"/>
                <w:szCs w:val="24"/>
              </w:rPr>
              <w:lastRenderedPageBreak/>
              <w:t>Tomáš Bednár</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color w:val="FF0000"/>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108"/>
              <w:jc w:val="both"/>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rsidR="004E422A" w:rsidRPr="005433A4" w:rsidRDefault="004E422A" w:rsidP="00C602A1">
            <w:pPr>
              <w:tabs>
                <w:tab w:val="left" w:pos="1470"/>
              </w:tabs>
              <w:ind w:left="30" w:right="105"/>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Burdová</w:t>
            </w:r>
          </w:p>
          <w:p w:rsidR="004E422A" w:rsidRPr="005433A4" w:rsidRDefault="004E422A" w:rsidP="00C602A1">
            <w:pPr>
              <w:rPr>
                <w:rFonts w:ascii="Garamond" w:hAnsi="Garamond"/>
                <w:sz w:val="24"/>
                <w:szCs w:val="24"/>
              </w:rPr>
            </w:pPr>
            <w:r w:rsidRPr="005433A4">
              <w:rPr>
                <w:rFonts w:ascii="Garamond" w:hAnsi="Garamond"/>
                <w:sz w:val="24"/>
                <w:szCs w:val="24"/>
              </w:rPr>
              <w:t>David Skočil</w:t>
            </w:r>
          </w:p>
          <w:p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Pavel Ungr</w:t>
            </w:r>
          </w:p>
          <w:p w:rsidR="004E422A" w:rsidRPr="005433A4" w:rsidRDefault="004E422A" w:rsidP="00C602A1">
            <w:pPr>
              <w:rPr>
                <w:rFonts w:ascii="Garamond" w:hAnsi="Garamond"/>
                <w:sz w:val="24"/>
                <w:szCs w:val="24"/>
              </w:rPr>
            </w:pPr>
            <w:r w:rsidRPr="005433A4">
              <w:rPr>
                <w:rFonts w:ascii="Garamond" w:hAnsi="Garamond"/>
                <w:sz w:val="24"/>
                <w:szCs w:val="24"/>
              </w:rPr>
              <w:t xml:space="preserve">Ilona </w:t>
            </w:r>
            <w:proofErr w:type="spellStart"/>
            <w:r w:rsidRPr="005433A4">
              <w:rPr>
                <w:rFonts w:ascii="Garamond" w:hAnsi="Garamond"/>
                <w:sz w:val="24"/>
                <w:szCs w:val="24"/>
              </w:rPr>
              <w:t>Vilicusová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Dr. Jan Votruba</w:t>
            </w:r>
          </w:p>
          <w:p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Ing. Karel Horký</w:t>
            </w:r>
          </w:p>
          <w:p w:rsidR="004E422A" w:rsidRPr="005433A4" w:rsidRDefault="004E422A" w:rsidP="00C602A1">
            <w:pPr>
              <w:rPr>
                <w:rFonts w:ascii="Garamond" w:hAnsi="Garamond"/>
                <w:sz w:val="24"/>
                <w:szCs w:val="24"/>
              </w:rPr>
            </w:pPr>
            <w:r w:rsidRPr="005433A4">
              <w:rPr>
                <w:rFonts w:ascii="Garamond" w:hAnsi="Garamond"/>
                <w:sz w:val="24"/>
                <w:szCs w:val="24"/>
              </w:rPr>
              <w:t>Jitka Svárovská</w:t>
            </w:r>
          </w:p>
          <w:p w:rsidR="004E422A" w:rsidRPr="005433A4" w:rsidRDefault="004E422A" w:rsidP="00C602A1">
            <w:pPr>
              <w:rPr>
                <w:rFonts w:ascii="Garamond" w:hAnsi="Garamond"/>
                <w:sz w:val="24"/>
                <w:szCs w:val="24"/>
              </w:rPr>
            </w:pPr>
            <w:r w:rsidRPr="005433A4">
              <w:rPr>
                <w:rFonts w:ascii="Garamond" w:hAnsi="Garamond"/>
                <w:sz w:val="24"/>
                <w:szCs w:val="24"/>
              </w:rPr>
              <w:t>Aneta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rsidR="004E422A" w:rsidRPr="005433A4" w:rsidRDefault="004E422A" w:rsidP="00C602A1">
            <w:pPr>
              <w:rPr>
                <w:rFonts w:ascii="Garamond" w:hAnsi="Garamond"/>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4B201D" w:rsidRPr="005433A4" w:rsidRDefault="004B201D"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rsidR="004E422A" w:rsidRPr="005433A4" w:rsidRDefault="004E422A" w:rsidP="00C602A1">
            <w:pPr>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w:t>
            </w:r>
            <w:r w:rsidRPr="005433A4">
              <w:rPr>
                <w:rFonts w:ascii="Garamond" w:hAnsi="Garamond"/>
                <w:sz w:val="24"/>
                <w:szCs w:val="24"/>
              </w:rPr>
              <w:lastRenderedPageBreak/>
              <w:t xml:space="preserve">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100 %</w:t>
            </w:r>
          </w:p>
          <w:p w:rsidR="0088310E" w:rsidRPr="005433A4" w:rsidRDefault="0088310E"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066C44" w:rsidRDefault="004E422A" w:rsidP="00C602A1">
            <w:pPr>
              <w:rPr>
                <w:rFonts w:ascii="Garamond" w:hAnsi="Garamond"/>
                <w:sz w:val="24"/>
                <w:szCs w:val="24"/>
              </w:rPr>
            </w:pPr>
            <w:r w:rsidRPr="00066C44">
              <w:rPr>
                <w:rFonts w:ascii="Garamond" w:hAnsi="Garamond"/>
                <w:sz w:val="24"/>
                <w:szCs w:val="24"/>
              </w:rPr>
              <w:lastRenderedPageBreak/>
              <w:t xml:space="preserve">Jarmila </w:t>
            </w:r>
            <w:proofErr w:type="spellStart"/>
            <w:r w:rsidRPr="00066C44">
              <w:rPr>
                <w:rFonts w:ascii="Garamond" w:hAnsi="Garamond"/>
                <w:sz w:val="24"/>
                <w:szCs w:val="24"/>
              </w:rPr>
              <w:t>Gerstnerová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rsidR="004E422A" w:rsidRPr="00066C44" w:rsidRDefault="004E422A" w:rsidP="00C602A1">
            <w:pPr>
              <w:rPr>
                <w:rFonts w:ascii="Garamond" w:hAnsi="Garamond"/>
                <w:sz w:val="24"/>
                <w:szCs w:val="24"/>
              </w:rPr>
            </w:pPr>
            <w:r w:rsidRPr="00066C44">
              <w:rPr>
                <w:rFonts w:ascii="Garamond" w:hAnsi="Garamond"/>
                <w:sz w:val="24"/>
                <w:szCs w:val="24"/>
              </w:rPr>
              <w:t>Bohuslava Knotková</w:t>
            </w:r>
          </w:p>
          <w:p w:rsidR="004E422A" w:rsidRPr="00066C44" w:rsidRDefault="004E422A" w:rsidP="00C602A1">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t>Hana Nováková</w:t>
            </w:r>
          </w:p>
          <w:p w:rsidR="004E422A" w:rsidRPr="00066C44" w:rsidRDefault="004E422A" w:rsidP="00C602A1">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lastRenderedPageBreak/>
              <w:t>Irena Rubá</w:t>
            </w:r>
          </w:p>
          <w:p w:rsidR="004E422A" w:rsidRPr="00066C44" w:rsidRDefault="004E422A" w:rsidP="00C602A1">
            <w:pPr>
              <w:rPr>
                <w:rFonts w:ascii="Garamond" w:hAnsi="Garamond"/>
                <w:sz w:val="24"/>
                <w:szCs w:val="24"/>
              </w:rPr>
            </w:pPr>
            <w:r w:rsidRPr="00066C44">
              <w:rPr>
                <w:rFonts w:ascii="Garamond" w:hAnsi="Garamond"/>
                <w:sz w:val="24"/>
                <w:szCs w:val="24"/>
              </w:rPr>
              <w:t>František Hurt</w:t>
            </w:r>
          </w:p>
          <w:p w:rsidR="004E422A" w:rsidRPr="00066C44" w:rsidRDefault="004E422A" w:rsidP="00C602A1">
            <w:pPr>
              <w:rPr>
                <w:rFonts w:ascii="Garamond" w:hAnsi="Garamond"/>
                <w:sz w:val="24"/>
                <w:szCs w:val="24"/>
              </w:rPr>
            </w:pPr>
            <w:r w:rsidRPr="00066C44">
              <w:rPr>
                <w:rFonts w:ascii="Garamond" w:hAnsi="Garamond"/>
                <w:sz w:val="24"/>
                <w:szCs w:val="24"/>
              </w:rPr>
              <w:t>Eva Drahošová</w:t>
            </w:r>
          </w:p>
          <w:p w:rsidR="004E422A" w:rsidRPr="00066C44" w:rsidRDefault="004E422A" w:rsidP="00C602A1">
            <w:pPr>
              <w:rPr>
                <w:rFonts w:ascii="Garamond" w:hAnsi="Garamond"/>
                <w:sz w:val="24"/>
                <w:szCs w:val="24"/>
              </w:rPr>
            </w:pPr>
            <w:r w:rsidRPr="00066C44">
              <w:rPr>
                <w:rFonts w:ascii="Garamond" w:hAnsi="Garamond"/>
                <w:sz w:val="24"/>
                <w:szCs w:val="24"/>
              </w:rPr>
              <w:t>Jana Tomášová</w:t>
            </w:r>
          </w:p>
          <w:p w:rsidR="004E422A" w:rsidRPr="00066C44" w:rsidRDefault="004E422A" w:rsidP="00C602A1">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rsidR="00FA3F92" w:rsidRPr="00066C44" w:rsidRDefault="00FA3F92" w:rsidP="00C602A1">
            <w:pPr>
              <w:rPr>
                <w:rFonts w:ascii="Garamond" w:hAnsi="Garamond"/>
                <w:sz w:val="24"/>
                <w:szCs w:val="24"/>
              </w:rPr>
            </w:pPr>
            <w:r w:rsidRPr="00066C44">
              <w:rPr>
                <w:rFonts w:ascii="Garamond" w:hAnsi="Garamond"/>
                <w:sz w:val="24"/>
                <w:szCs w:val="24"/>
              </w:rPr>
              <w:t>Rudolf Rýgl</w:t>
            </w:r>
          </w:p>
          <w:p w:rsidR="004E422A" w:rsidRPr="00066C44" w:rsidRDefault="004E422A" w:rsidP="00C602A1">
            <w:pPr>
              <w:rPr>
                <w:rFonts w:ascii="Garamond" w:hAnsi="Garamond"/>
                <w:sz w:val="24"/>
                <w:szCs w:val="24"/>
              </w:rPr>
            </w:pPr>
          </w:p>
          <w:p w:rsidR="004E422A" w:rsidRPr="00066C44" w:rsidRDefault="004E422A" w:rsidP="00C602A1">
            <w:pPr>
              <w:ind w:right="-114"/>
              <w:rPr>
                <w:rFonts w:ascii="Garamond" w:hAnsi="Garamond"/>
                <w:sz w:val="24"/>
                <w:szCs w:val="24"/>
              </w:rPr>
            </w:pPr>
          </w:p>
          <w:p w:rsidR="004E422A" w:rsidRPr="00066C44" w:rsidRDefault="004E422A" w:rsidP="00C602A1">
            <w:pPr>
              <w:rPr>
                <w:rFonts w:ascii="Garamond" w:hAnsi="Garamond"/>
                <w:sz w:val="24"/>
                <w:szCs w:val="24"/>
              </w:rPr>
            </w:pPr>
          </w:p>
          <w:p w:rsidR="004E422A" w:rsidRPr="00066C44" w:rsidRDefault="004E422A" w:rsidP="00C602A1">
            <w:pPr>
              <w:rPr>
                <w:rFonts w:ascii="Garamond" w:hAnsi="Garamond"/>
                <w:sz w:val="24"/>
                <w:szCs w:val="24"/>
              </w:rPr>
            </w:pPr>
          </w:p>
        </w:tc>
      </w:tr>
      <w:tr w:rsidR="004E422A" w:rsidRPr="005433A4" w:rsidTr="00C602A1">
        <w:trPr>
          <w:trHeight w:val="2400"/>
        </w:trPr>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color w:val="0070C0"/>
                <w:sz w:val="24"/>
                <w:szCs w:val="24"/>
              </w:rPr>
            </w:pPr>
            <w:r w:rsidRPr="005433A4">
              <w:rPr>
                <w:rFonts w:ascii="Garamond" w:hAnsi="Garamond"/>
                <w:sz w:val="24"/>
                <w:szCs w:val="24"/>
              </w:rPr>
              <w:t xml:space="preserve">U všech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Klára </w:t>
            </w:r>
            <w:proofErr w:type="spellStart"/>
            <w:r w:rsidRPr="005433A4">
              <w:rPr>
                <w:rFonts w:ascii="Garamond" w:hAnsi="Garamond"/>
                <w:sz w:val="24"/>
                <w:szCs w:val="24"/>
              </w:rPr>
              <w:t>Dlugošová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Blanka Hašková</w:t>
            </w:r>
          </w:p>
          <w:p w:rsidR="004E422A" w:rsidRPr="005433A4" w:rsidRDefault="004E422A" w:rsidP="00C602A1">
            <w:pPr>
              <w:rPr>
                <w:rFonts w:ascii="Garamond" w:hAnsi="Garamond"/>
                <w:sz w:val="24"/>
                <w:szCs w:val="24"/>
              </w:rPr>
            </w:pPr>
            <w:r w:rsidRPr="005433A4">
              <w:rPr>
                <w:rFonts w:ascii="Garamond" w:hAnsi="Garamond"/>
                <w:sz w:val="24"/>
                <w:szCs w:val="24"/>
              </w:rPr>
              <w:t>Petr Jiran</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r w:rsidRPr="005433A4">
              <w:rPr>
                <w:rFonts w:ascii="Garamond" w:hAnsi="Garamond"/>
                <w:sz w:val="24"/>
                <w:szCs w:val="24"/>
              </w:rPr>
              <w:t xml:space="preserve"> </w:t>
            </w:r>
          </w:p>
        </w:tc>
      </w:tr>
    </w:tbl>
    <w:p w:rsidR="004E422A" w:rsidRPr="005433A4" w:rsidRDefault="004E422A" w:rsidP="00505E9C">
      <w:pPr>
        <w:jc w:val="both"/>
        <w:rPr>
          <w:rFonts w:ascii="Garamond" w:hAnsi="Garamond"/>
          <w:b/>
          <w:sz w:val="24"/>
          <w:szCs w:val="24"/>
        </w:rPr>
      </w:pPr>
    </w:p>
    <w:p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rsidR="004E422A" w:rsidRPr="005433A4" w:rsidRDefault="004E422A" w:rsidP="004E422A">
      <w:pPr>
        <w:tabs>
          <w:tab w:val="left" w:pos="3600"/>
          <w:tab w:val="left" w:pos="6840"/>
        </w:tabs>
        <w:rPr>
          <w:rFonts w:ascii="Garamond" w:hAnsi="Garamond"/>
          <w:b/>
          <w:bCs/>
          <w:caps/>
          <w:sz w:val="16"/>
          <w:szCs w:val="16"/>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w:t>
      </w:r>
      <w:proofErr w:type="spellStart"/>
      <w:r w:rsidRPr="005433A4">
        <w:rPr>
          <w:rFonts w:ascii="Garamond" w:hAnsi="Garamond"/>
          <w:bCs/>
          <w:sz w:val="24"/>
          <w:szCs w:val="24"/>
        </w:rPr>
        <w:t>Tm</w:t>
      </w:r>
      <w:proofErr w:type="spellEnd"/>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w:t>
      </w:r>
      <w:proofErr w:type="spellStart"/>
      <w:r w:rsidRPr="005433A4">
        <w:rPr>
          <w:rFonts w:ascii="Garamond" w:hAnsi="Garamond"/>
          <w:bCs/>
          <w:sz w:val="24"/>
          <w:szCs w:val="24"/>
        </w:rPr>
        <w:t>Tm</w:t>
      </w:r>
      <w:proofErr w:type="spellEnd"/>
      <w:r w:rsidRPr="005433A4">
        <w:rPr>
          <w:rFonts w:ascii="Garamond" w:hAnsi="Garamond"/>
          <w:bCs/>
          <w:sz w:val="24"/>
          <w:szCs w:val="24"/>
        </w:rPr>
        <w:t xml:space="preserve"> a Rod</w:t>
      </w:r>
      <w:r w:rsidRPr="005433A4">
        <w:rPr>
          <w:rFonts w:ascii="Garamond" w:hAnsi="Garamond"/>
          <w:bCs/>
          <w:i/>
          <w:sz w:val="24"/>
          <w:szCs w:val="24"/>
        </w:rPr>
        <w:tab/>
        <w:t xml:space="preserve">         zastupuje Bc. Zdeněk Pěnčík</w:t>
      </w:r>
    </w:p>
    <w:p w:rsidR="004E422A" w:rsidRPr="005433A4" w:rsidRDefault="004E422A" w:rsidP="004E422A">
      <w:pPr>
        <w:rPr>
          <w:rFonts w:ascii="Garamond" w:hAnsi="Garamond"/>
          <w:b/>
          <w:bCs/>
          <w:sz w:val="24"/>
          <w:szCs w:val="24"/>
        </w:rPr>
      </w:pPr>
    </w:p>
    <w:p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5433A4">
        <w:rPr>
          <w:rFonts w:ascii="Garamond" w:hAnsi="Garamond"/>
          <w:bCs/>
          <w:sz w:val="24"/>
          <w:szCs w:val="24"/>
        </w:rPr>
        <w:t>Nt</w:t>
      </w:r>
      <w:proofErr w:type="spellEnd"/>
      <w:r w:rsidRPr="005433A4">
        <w:rPr>
          <w:rFonts w:ascii="Garamond" w:hAnsi="Garamond"/>
          <w:bCs/>
          <w:sz w:val="24"/>
          <w:szCs w:val="24"/>
        </w:rPr>
        <w:t xml:space="preserve">“ – všeobecné. </w:t>
      </w:r>
      <w:r w:rsidRPr="005433A4">
        <w:rPr>
          <w:rFonts w:ascii="Garamond" w:hAnsi="Garamond"/>
          <w:sz w:val="24"/>
          <w:szCs w:val="24"/>
        </w:rPr>
        <w:t xml:space="preserve">Pro příslušná oddělení bez pověření předsedou senátu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w:t>
      </w:r>
      <w:r w:rsidRPr="005433A4">
        <w:rPr>
          <w:rFonts w:ascii="Garamond" w:hAnsi="Garamond"/>
          <w:bCs/>
          <w:sz w:val="24"/>
          <w:szCs w:val="24"/>
        </w:rPr>
        <w:t xml:space="preserve">. </w:t>
      </w:r>
      <w:r w:rsidRPr="005433A4">
        <w:rPr>
          <w:rFonts w:ascii="Garamond" w:hAnsi="Garamond"/>
          <w:sz w:val="24"/>
          <w:szCs w:val="24"/>
        </w:rPr>
        <w:t xml:space="preserve">Jsou osobami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5433A4" w:rsidRDefault="004E422A" w:rsidP="004E422A">
      <w:pPr>
        <w:jc w:val="both"/>
        <w:rPr>
          <w:rFonts w:ascii="Garamond" w:hAnsi="Garamond"/>
          <w:bCs/>
          <w:sz w:val="24"/>
          <w:szCs w:val="24"/>
        </w:rPr>
      </w:pPr>
    </w:p>
    <w:p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rsidR="004E422A" w:rsidRPr="005433A4" w:rsidRDefault="004E422A" w:rsidP="004E422A">
      <w:pPr>
        <w:tabs>
          <w:tab w:val="left" w:pos="3600"/>
          <w:tab w:val="left" w:pos="6379"/>
        </w:tabs>
        <w:jc w:val="both"/>
        <w:rPr>
          <w:rFonts w:ascii="Garamond" w:hAnsi="Garamond"/>
          <w:bCs/>
          <w:sz w:val="24"/>
          <w:szCs w:val="24"/>
        </w:rPr>
      </w:pPr>
    </w:p>
    <w:p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 Je osobou oprávněnou přístupem do kovové skříně soudu. Kontroluje, řídí a organizuje činnost rejstříkových vedoucích, protokolujících úřednic a zapisovatelek.</w:t>
      </w:r>
    </w:p>
    <w:p w:rsidR="004E422A" w:rsidRPr="005433A4" w:rsidRDefault="004E422A" w:rsidP="004E422A">
      <w:pPr>
        <w:rPr>
          <w:rFonts w:ascii="Garamond" w:hAnsi="Garamond"/>
          <w:bCs/>
          <w:sz w:val="16"/>
          <w:szCs w:val="16"/>
        </w:rPr>
      </w:pPr>
    </w:p>
    <w:p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rsidR="004E422A" w:rsidRPr="005433A4" w:rsidRDefault="004E422A" w:rsidP="004E422A">
      <w:pPr>
        <w:jc w:val="both"/>
        <w:rPr>
          <w:rFonts w:ascii="Garamond" w:hAnsi="Garamond"/>
          <w:sz w:val="24"/>
          <w:szCs w:val="24"/>
        </w:rPr>
      </w:pPr>
    </w:p>
    <w:p w:rsidR="004E422A" w:rsidRPr="005433A4" w:rsidRDefault="004E422A" w:rsidP="004E422A">
      <w:pPr>
        <w:jc w:val="both"/>
        <w:rPr>
          <w:rFonts w:ascii="Garamond" w:hAnsi="Garamond"/>
          <w:sz w:val="24"/>
          <w:szCs w:val="24"/>
        </w:rPr>
      </w:pPr>
      <w:r w:rsidRPr="005433A4">
        <w:rPr>
          <w:rFonts w:ascii="Garamond" w:hAnsi="Garamond"/>
          <w:sz w:val="24"/>
          <w:szCs w:val="24"/>
        </w:rPr>
        <w:tab/>
        <w:t>Květa Břinčilová – protokolující úřednice (dle pokynů vedoucí trestního úseku);</w:t>
      </w:r>
    </w:p>
    <w:p w:rsidR="004E422A" w:rsidRPr="005433A4" w:rsidRDefault="004E422A" w:rsidP="004E422A">
      <w:pPr>
        <w:jc w:val="both"/>
        <w:rPr>
          <w:rFonts w:ascii="Garamond" w:hAnsi="Garamond"/>
          <w:sz w:val="24"/>
          <w:szCs w:val="24"/>
        </w:rPr>
      </w:pP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V případě potřeby zajišťuje realizaci úkonů i na ostatních úsecích.</w:t>
      </w:r>
    </w:p>
    <w:p w:rsidR="004E422A" w:rsidRPr="005433A4" w:rsidRDefault="004E422A" w:rsidP="004E422A">
      <w:pPr>
        <w:jc w:val="both"/>
        <w:rPr>
          <w:rFonts w:ascii="Garamond" w:hAnsi="Garamond"/>
          <w:sz w:val="16"/>
          <w:szCs w:val="16"/>
        </w:rPr>
      </w:pP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 xml:space="preserve">5.2.4 </w:t>
      </w:r>
      <w:r w:rsidRPr="005433A4">
        <w:rPr>
          <w:rFonts w:ascii="Garamond" w:hAnsi="Garamond"/>
          <w:bCs/>
          <w:sz w:val="24"/>
          <w:szCs w:val="24"/>
        </w:rPr>
        <w:tab/>
        <w:t xml:space="preserve">Asistentka soudce: </w:t>
      </w:r>
      <w:r w:rsidRPr="005433A4">
        <w:rPr>
          <w:rFonts w:ascii="Garamond" w:hAnsi="Garamond"/>
          <w:bCs/>
          <w:sz w:val="24"/>
          <w:szCs w:val="24"/>
        </w:rPr>
        <w:tab/>
      </w:r>
      <w:r w:rsidRPr="005433A4">
        <w:rPr>
          <w:rFonts w:ascii="Garamond" w:hAnsi="Garamond"/>
          <w:b/>
          <w:bCs/>
          <w:sz w:val="24"/>
          <w:szCs w:val="24"/>
        </w:rPr>
        <w:t>JUDr. Aneta Onodyová</w:t>
      </w:r>
      <w:r w:rsidRPr="005433A4">
        <w:rPr>
          <w:rFonts w:ascii="Garamond" w:hAnsi="Garamond"/>
          <w:bCs/>
          <w:sz w:val="24"/>
          <w:szCs w:val="24"/>
        </w:rPr>
        <w:tab/>
      </w:r>
      <w:r w:rsidR="00F47B6E">
        <w:rPr>
          <w:rFonts w:ascii="Garamond" w:hAnsi="Garamond"/>
          <w:bCs/>
          <w:sz w:val="24"/>
          <w:szCs w:val="24"/>
        </w:rPr>
        <w:tab/>
      </w:r>
      <w:r w:rsidRPr="005433A4">
        <w:rPr>
          <w:rFonts w:ascii="Garamond" w:hAnsi="Garamond"/>
          <w:bCs/>
          <w:sz w:val="24"/>
          <w:szCs w:val="24"/>
        </w:rPr>
        <w:t>- pro soudce Mgr. Petra Holuba</w:t>
      </w: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pro soudce JUDr. Rostislava Tomise</w:t>
      </w:r>
    </w:p>
    <w:p w:rsidR="004E422A" w:rsidRPr="005433A4" w:rsidRDefault="004E422A" w:rsidP="004E422A">
      <w:pPr>
        <w:tabs>
          <w:tab w:val="left" w:pos="709"/>
          <w:tab w:val="left" w:pos="3544"/>
          <w:tab w:val="left" w:pos="6379"/>
        </w:tabs>
        <w:spacing w:after="120"/>
        <w:rPr>
          <w:rFonts w:ascii="Garamond" w:hAnsi="Garamond"/>
          <w:bCs/>
          <w:sz w:val="24"/>
          <w:szCs w:val="24"/>
        </w:rPr>
      </w:pP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pro soudce Mgr. Jana Poláka</w:t>
      </w: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5433A4">
        <w:rPr>
          <w:rFonts w:ascii="Garamond" w:hAnsi="Garamond"/>
          <w:bCs/>
          <w:sz w:val="24"/>
          <w:szCs w:val="24"/>
        </w:rPr>
        <w:t>MSp</w:t>
      </w:r>
      <w:proofErr w:type="spellEnd"/>
      <w:r w:rsidRPr="005433A4">
        <w:rPr>
          <w:rFonts w:ascii="Garamond" w:hAnsi="Garamond"/>
          <w:bCs/>
          <w:sz w:val="24"/>
          <w:szCs w:val="24"/>
        </w:rPr>
        <w:t xml:space="preserve"> č. 20/2002-SM v aktuálním znění.</w:t>
      </w:r>
    </w:p>
    <w:p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rsidTr="00C602A1">
        <w:tc>
          <w:tcPr>
            <w:tcW w:w="135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72C13"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E72C13">
            <w:pPr>
              <w:tabs>
                <w:tab w:val="left" w:pos="3600"/>
                <w:tab w:val="left" w:pos="6840"/>
              </w:tabs>
              <w:spacing w:before="120"/>
              <w:rPr>
                <w:rFonts w:ascii="Garamond" w:hAnsi="Garamond"/>
                <w:i/>
                <w:sz w:val="24"/>
                <w:szCs w:val="24"/>
              </w:rPr>
            </w:pPr>
            <w:r w:rsidRPr="001C26DB">
              <w:rPr>
                <w:rFonts w:ascii="Garamond" w:hAnsi="Garamond"/>
                <w:i/>
                <w:sz w:val="24"/>
                <w:szCs w:val="24"/>
              </w:rPr>
              <w:t>………………………….</w:t>
            </w:r>
          </w:p>
          <w:p w:rsidR="004E422A" w:rsidRPr="001C26DB" w:rsidRDefault="00B01994" w:rsidP="00B01994">
            <w:pPr>
              <w:tabs>
                <w:tab w:val="left" w:pos="3600"/>
                <w:tab w:val="left" w:pos="6840"/>
              </w:tabs>
              <w:rPr>
                <w:rFonts w:ascii="Garamond" w:hAnsi="Garamond"/>
                <w:sz w:val="24"/>
                <w:szCs w:val="24"/>
              </w:rPr>
            </w:pPr>
            <w:r w:rsidRPr="00066C44">
              <w:rPr>
                <w:rFonts w:ascii="Garamond" w:hAnsi="Garamond"/>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right="-108"/>
              <w:rPr>
                <w:rFonts w:ascii="Garamond" w:hAnsi="Garamond"/>
                <w:sz w:val="24"/>
                <w:szCs w:val="24"/>
              </w:rPr>
            </w:pPr>
          </w:p>
          <w:p w:rsidR="004E422A" w:rsidRPr="005433A4"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rsidR="004E422A" w:rsidRPr="005433A4" w:rsidRDefault="004E422A" w:rsidP="00E72C13">
            <w:pPr>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 xml:space="preserve">JUDr. Stanislav Brabec, </w:t>
            </w:r>
            <w:proofErr w:type="gramStart"/>
            <w:r w:rsidRPr="00066C44">
              <w:rPr>
                <w:rFonts w:ascii="Garamond" w:hAnsi="Garamond"/>
                <w:i/>
                <w:sz w:val="24"/>
                <w:szCs w:val="24"/>
              </w:rPr>
              <w:t>LL.M.</w:t>
            </w:r>
            <w:proofErr w:type="gramEnd"/>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rsidR="004E422A" w:rsidRPr="00066C44" w:rsidRDefault="004E422A" w:rsidP="00C602A1">
            <w:pPr>
              <w:tabs>
                <w:tab w:val="left" w:pos="708"/>
              </w:tabs>
              <w:jc w:val="both"/>
              <w:rPr>
                <w:rFonts w:ascii="Garamond" w:hAnsi="Garamond"/>
                <w:sz w:val="24"/>
                <w:szCs w:val="24"/>
              </w:rPr>
            </w:pPr>
          </w:p>
          <w:p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rsidR="004E422A" w:rsidRPr="00066C44" w:rsidRDefault="004E422A" w:rsidP="00C602A1">
            <w:pPr>
              <w:ind w:right="-108"/>
              <w:rPr>
                <w:rFonts w:ascii="Garamond" w:hAnsi="Garamond"/>
                <w:sz w:val="24"/>
                <w:szCs w:val="24"/>
              </w:rPr>
            </w:pPr>
          </w:p>
          <w:p w:rsidR="004E422A" w:rsidRPr="00066C44" w:rsidRDefault="004E422A" w:rsidP="00C602A1">
            <w:pPr>
              <w:ind w:left="72"/>
              <w:jc w:val="both"/>
              <w:rPr>
                <w:rFonts w:ascii="Garamond" w:hAnsi="Garamond"/>
                <w:sz w:val="24"/>
                <w:szCs w:val="24"/>
              </w:rPr>
            </w:pPr>
          </w:p>
          <w:p w:rsidR="004E422A" w:rsidRPr="00066C44" w:rsidRDefault="004E422A" w:rsidP="00C602A1">
            <w:pPr>
              <w:ind w:left="72"/>
              <w:jc w:val="both"/>
              <w:rPr>
                <w:rFonts w:ascii="Garamond" w:hAnsi="Garamond"/>
                <w:sz w:val="24"/>
                <w:szCs w:val="24"/>
              </w:rPr>
            </w:pPr>
          </w:p>
          <w:p w:rsidR="004E422A" w:rsidRPr="00066C44" w:rsidRDefault="004E422A" w:rsidP="00C602A1">
            <w:pPr>
              <w:ind w:left="72"/>
              <w:jc w:val="both"/>
              <w:rPr>
                <w:rFonts w:ascii="Garamond" w:hAnsi="Garamond"/>
                <w:sz w:val="24"/>
                <w:szCs w:val="24"/>
              </w:rPr>
            </w:pPr>
          </w:p>
          <w:p w:rsidR="00E574F6" w:rsidRPr="00066C44" w:rsidRDefault="00E574F6" w:rsidP="00C602A1">
            <w:pPr>
              <w:ind w:left="72"/>
              <w:jc w:val="both"/>
              <w:rPr>
                <w:rFonts w:ascii="Garamond" w:hAnsi="Garamond"/>
                <w:sz w:val="24"/>
                <w:szCs w:val="24"/>
              </w:rPr>
            </w:pPr>
          </w:p>
          <w:p w:rsidR="00E574F6" w:rsidRPr="00066C44" w:rsidRDefault="00E574F6" w:rsidP="00C602A1">
            <w:pPr>
              <w:ind w:left="72"/>
              <w:jc w:val="both"/>
              <w:rPr>
                <w:rFonts w:ascii="Garamond" w:hAnsi="Garamond"/>
                <w:sz w:val="24"/>
                <w:szCs w:val="24"/>
              </w:rPr>
            </w:pPr>
          </w:p>
          <w:p w:rsidR="004E422A" w:rsidRPr="00066C44" w:rsidRDefault="004E422A" w:rsidP="00385C3F">
            <w:pPr>
              <w:jc w:val="both"/>
              <w:rPr>
                <w:rFonts w:ascii="Garamond" w:hAnsi="Garamond"/>
                <w:sz w:val="24"/>
                <w:szCs w:val="24"/>
              </w:rPr>
            </w:pPr>
          </w:p>
          <w:p w:rsidR="000E45FA" w:rsidRPr="00066C44" w:rsidRDefault="000E45FA" w:rsidP="003E06C6">
            <w:pPr>
              <w:jc w:val="both"/>
              <w:rPr>
                <w:rFonts w:ascii="Garamond" w:hAnsi="Garamond"/>
                <w:sz w:val="24"/>
                <w:szCs w:val="24"/>
              </w:rPr>
            </w:pPr>
          </w:p>
          <w:p w:rsidR="004E422A" w:rsidRPr="00066C44" w:rsidRDefault="004E422A" w:rsidP="00C602A1">
            <w:pPr>
              <w:ind w:left="72"/>
              <w:jc w:val="both"/>
              <w:rPr>
                <w:rFonts w:ascii="Garamond" w:hAnsi="Garamond"/>
                <w:sz w:val="24"/>
                <w:szCs w:val="24"/>
              </w:rPr>
            </w:pPr>
            <w:r w:rsidRPr="00066C44">
              <w:rPr>
                <w:rFonts w:ascii="Garamond" w:hAnsi="Garamond"/>
                <w:sz w:val="24"/>
                <w:szCs w:val="24"/>
              </w:rPr>
              <w:t>……………………………………………</w:t>
            </w:r>
          </w:p>
          <w:p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rsidR="00B01994" w:rsidRPr="00066C44" w:rsidRDefault="00B01994" w:rsidP="00AF66D5">
            <w:pPr>
              <w:ind w:left="72"/>
              <w:jc w:val="both"/>
              <w:rPr>
                <w:rFonts w:ascii="Garamond" w:hAnsi="Garamond"/>
                <w:sz w:val="24"/>
                <w:szCs w:val="24"/>
              </w:rPr>
            </w:pPr>
            <w:proofErr w:type="spellStart"/>
            <w:r w:rsidRPr="00066C44">
              <w:rPr>
                <w:rFonts w:ascii="Garamond" w:hAnsi="Garamond"/>
                <w:sz w:val="24"/>
                <w:szCs w:val="24"/>
              </w:rPr>
              <w:t>Protokolaci</w:t>
            </w:r>
            <w:proofErr w:type="spellEnd"/>
            <w:r w:rsidR="00AF66D5">
              <w:rPr>
                <w:rFonts w:ascii="Garamond" w:hAnsi="Garamond"/>
                <w:sz w:val="24"/>
                <w:szCs w:val="24"/>
              </w:rPr>
              <w:t xml:space="preserve"> </w:t>
            </w:r>
            <w:r w:rsidRPr="00066C44">
              <w:rPr>
                <w:rFonts w:ascii="Garamond" w:hAnsi="Garamond"/>
                <w:sz w:val="24"/>
                <w:szCs w:val="24"/>
              </w:rPr>
              <w:t>v jednací síni ve čtvrtek zajišťuje rejstříková vedoucí Miroslava Kožená.</w:t>
            </w:r>
          </w:p>
        </w:tc>
        <w:tc>
          <w:tcPr>
            <w:tcW w:w="1134" w:type="dxa"/>
          </w:tcPr>
          <w:p w:rsidR="004E422A" w:rsidRPr="001C26DB" w:rsidRDefault="004E422A" w:rsidP="00C602A1">
            <w:pPr>
              <w:tabs>
                <w:tab w:val="left" w:pos="3600"/>
                <w:tab w:val="left" w:pos="6840"/>
              </w:tabs>
              <w:rPr>
                <w:rFonts w:ascii="Garamond" w:hAnsi="Garamond"/>
                <w:b/>
                <w:sz w:val="24"/>
                <w:szCs w:val="24"/>
              </w:rPr>
            </w:pP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rsidR="004E422A" w:rsidRPr="005433A4" w:rsidRDefault="004E422A" w:rsidP="00C602A1">
            <w:pPr>
              <w:tabs>
                <w:tab w:val="left" w:pos="3600"/>
                <w:tab w:val="left" w:pos="6840"/>
              </w:tabs>
              <w:rPr>
                <w:rFonts w:ascii="Garamond" w:hAnsi="Garamond"/>
                <w:b/>
                <w:sz w:val="24"/>
                <w:szCs w:val="24"/>
              </w:rPr>
            </w:pPr>
          </w:p>
          <w:p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rsidR="004E422A" w:rsidRPr="005433A4" w:rsidRDefault="004E422A" w:rsidP="00E72C13">
            <w:pPr>
              <w:spacing w:before="2320"/>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tabs>
                <w:tab w:val="left" w:pos="3600"/>
                <w:tab w:val="left" w:pos="6840"/>
              </w:tabs>
              <w:rPr>
                <w:rFonts w:ascii="Garamond" w:hAnsi="Garamond"/>
                <w:strike/>
                <w:sz w:val="24"/>
                <w:szCs w:val="24"/>
              </w:rPr>
            </w:pPr>
            <w:r w:rsidRPr="005433A4">
              <w:rPr>
                <w:rFonts w:ascii="Garamond" w:hAnsi="Garamond"/>
                <w:sz w:val="24"/>
                <w:szCs w:val="24"/>
              </w:rPr>
              <w:t>Ivana Skočilová</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 xml:space="preserve">JUDr. Stanislav Brabec, </w:t>
            </w:r>
            <w:proofErr w:type="gramStart"/>
            <w:r w:rsidRPr="00066C44">
              <w:rPr>
                <w:rFonts w:ascii="Garamond" w:hAnsi="Garamond"/>
                <w:b/>
                <w:bCs/>
                <w:sz w:val="24"/>
                <w:szCs w:val="24"/>
              </w:rPr>
              <w:t>LL.M.</w:t>
            </w:r>
            <w:proofErr w:type="gramEnd"/>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B8348B" w:rsidRPr="00066C44" w:rsidRDefault="00B8348B" w:rsidP="00B8348B">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lastRenderedPageBreak/>
              <w:t>JUDr. Martin Skalický</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ind w:right="-108"/>
              <w:rPr>
                <w:rFonts w:ascii="Garamond" w:hAnsi="Garamond"/>
                <w:sz w:val="24"/>
                <w:szCs w:val="24"/>
              </w:rPr>
            </w:pPr>
          </w:p>
          <w:p w:rsidR="004E422A" w:rsidRDefault="004E422A" w:rsidP="00E574F6">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w:t>
            </w:r>
          </w:p>
          <w:p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rsidR="004E422A" w:rsidRPr="005433A4" w:rsidRDefault="004E422A" w:rsidP="00C602A1">
            <w:pPr>
              <w:ind w:right="-108"/>
              <w:rPr>
                <w:rFonts w:ascii="Garamond" w:hAnsi="Garamond"/>
                <w:b/>
                <w:bCs/>
                <w:sz w:val="24"/>
                <w:szCs w:val="24"/>
              </w:rPr>
            </w:pPr>
          </w:p>
          <w:p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7D3B73">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rsidR="004E422A" w:rsidRPr="001C26DB" w:rsidRDefault="004E422A" w:rsidP="00C602A1">
            <w:pPr>
              <w:ind w:right="-108"/>
              <w:rPr>
                <w:rFonts w:ascii="Garamond" w:hAnsi="Garamond"/>
                <w:b/>
                <w:bCs/>
                <w:i/>
                <w:sz w:val="24"/>
                <w:szCs w:val="24"/>
              </w:rPr>
            </w:pPr>
          </w:p>
          <w:p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lastRenderedPageBreak/>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7D3B73">
            <w:pPr>
              <w:spacing w:after="16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Default="004E422A"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Pr="005433A4" w:rsidRDefault="00C43F80" w:rsidP="00C602A1">
            <w:pPr>
              <w:tabs>
                <w:tab w:val="left" w:pos="708"/>
              </w:tabs>
              <w:jc w:val="both"/>
              <w:rPr>
                <w:rFonts w:ascii="Garamond" w:hAnsi="Garamond"/>
                <w:sz w:val="24"/>
                <w:szCs w:val="24"/>
              </w:rPr>
            </w:pP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CF3313" w:rsidRPr="001C26DB" w:rsidRDefault="00CF3313" w:rsidP="00CF3313">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rsidR="00CF3313" w:rsidRPr="001C26DB"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E422A" w:rsidRPr="005433A4" w:rsidRDefault="004E422A" w:rsidP="00C602A1">
            <w:pPr>
              <w:ind w:right="-108"/>
              <w:rPr>
                <w:rFonts w:ascii="Garamond" w:hAnsi="Garamond"/>
                <w:bCs/>
                <w:i/>
                <w:sz w:val="24"/>
                <w:szCs w:val="24"/>
              </w:rPr>
            </w:pPr>
            <w:r w:rsidRPr="005433A4">
              <w:rPr>
                <w:rFonts w:ascii="Garamond" w:hAnsi="Garamond"/>
                <w:bCs/>
                <w:i/>
                <w:sz w:val="24"/>
                <w:szCs w:val="24"/>
              </w:rPr>
              <w:t>…………………………</w:t>
            </w:r>
          </w:p>
          <w:p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E72C13">
            <w:pPr>
              <w:tabs>
                <w:tab w:val="left" w:pos="708"/>
              </w:tabs>
              <w:spacing w:after="196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trike/>
                <w:sz w:val="24"/>
                <w:szCs w:val="24"/>
              </w:rPr>
            </w:pP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rsidR="003A2B4A" w:rsidRPr="001C26DB" w:rsidRDefault="002D7298" w:rsidP="00F92982">
            <w:pPr>
              <w:spacing w:after="320"/>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lastRenderedPageBreak/>
              <w:t>………………………….</w:t>
            </w:r>
          </w:p>
          <w:p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F92982">
            <w:pPr>
              <w:spacing w:after="16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Stanislav Brabec, </w:t>
            </w:r>
            <w:proofErr w:type="gramStart"/>
            <w:r w:rsidRPr="00066C44">
              <w:rPr>
                <w:rFonts w:ascii="Garamond" w:hAnsi="Garamond"/>
                <w:i/>
                <w:sz w:val="24"/>
                <w:szCs w:val="24"/>
              </w:rPr>
              <w:t>LL.M.</w:t>
            </w:r>
            <w:proofErr w:type="gramEnd"/>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4E422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DF16C0" w:rsidP="00C602A1">
            <w:pPr>
              <w:ind w:right="-108"/>
              <w:rPr>
                <w:rFonts w:ascii="Garamond" w:hAnsi="Garamond"/>
                <w:b/>
                <w:bCs/>
                <w:sz w:val="24"/>
                <w:szCs w:val="24"/>
              </w:rPr>
            </w:pPr>
            <w:r w:rsidRPr="00066C44">
              <w:rPr>
                <w:rFonts w:ascii="Garamond" w:hAnsi="Garamond"/>
                <w:bCs/>
                <w:sz w:val="24"/>
                <w:szCs w:val="24"/>
              </w:rPr>
              <w:t>Nela Bechynská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C43F80" w:rsidRPr="00C43F80" w:rsidRDefault="004E422A" w:rsidP="00C43F80">
            <w:pPr>
              <w:spacing w:after="2000"/>
              <w:ind w:right="-108"/>
              <w:rPr>
                <w:rFonts w:ascii="Garamond" w:hAnsi="Garamond"/>
                <w:color w:val="0000FF"/>
                <w:sz w:val="24"/>
                <w:szCs w:val="24"/>
                <w:u w:val="singl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60 %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60 %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2D7298"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036358">
            <w:pPr>
              <w:spacing w:after="20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20</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rsidR="007D3B73" w:rsidRDefault="007D3B73" w:rsidP="007D3B73">
            <w:pPr>
              <w:tabs>
                <w:tab w:val="left" w:pos="708"/>
              </w:tabs>
              <w:jc w:val="both"/>
              <w:rPr>
                <w:rFonts w:ascii="Garamond" w:hAnsi="Garamond"/>
                <w:sz w:val="24"/>
                <w:szCs w:val="24"/>
              </w:rPr>
            </w:pPr>
          </w:p>
          <w:p w:rsidR="004E422A" w:rsidRDefault="004E422A" w:rsidP="000C7110">
            <w:pPr>
              <w:tabs>
                <w:tab w:val="left" w:pos="708"/>
              </w:tabs>
              <w:spacing w:after="20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rsidR="00CF3313" w:rsidRPr="001C26DB" w:rsidRDefault="00CF3313" w:rsidP="00AE4E26">
            <w:pPr>
              <w:ind w:right="-108"/>
              <w:rPr>
                <w:rFonts w:ascii="Garamond" w:hAnsi="Garamond"/>
                <w:b/>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1C26DB"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24"/>
                <w:szCs w:val="24"/>
              </w:rPr>
            </w:pPr>
          </w:p>
        </w:tc>
        <w:tc>
          <w:tcPr>
            <w:tcW w:w="3318" w:type="dxa"/>
          </w:tcPr>
          <w:p w:rsidR="004E422A" w:rsidRPr="005433A4" w:rsidRDefault="004E422A" w:rsidP="00C602A1">
            <w:pPr>
              <w:ind w:right="-67"/>
              <w:rPr>
                <w:rFonts w:ascii="Garamond" w:hAnsi="Garamond"/>
                <w:sz w:val="24"/>
                <w:szCs w:val="24"/>
              </w:rPr>
            </w:pPr>
          </w:p>
        </w:tc>
        <w:tc>
          <w:tcPr>
            <w:tcW w:w="5245" w:type="dxa"/>
          </w:tcPr>
          <w:p w:rsidR="004E422A" w:rsidRPr="005433A4" w:rsidRDefault="004E422A" w:rsidP="00C602A1">
            <w:pPr>
              <w:ind w:right="-108"/>
              <w:rPr>
                <w:rFonts w:ascii="Garamond" w:hAnsi="Garamond"/>
                <w:sz w:val="24"/>
                <w:szCs w:val="24"/>
              </w:rPr>
            </w:pPr>
          </w:p>
        </w:tc>
        <w:tc>
          <w:tcPr>
            <w:tcW w:w="1134" w:type="dxa"/>
          </w:tcPr>
          <w:p w:rsidR="004E422A" w:rsidRPr="005433A4" w:rsidRDefault="004E422A" w:rsidP="00C602A1">
            <w:pPr>
              <w:tabs>
                <w:tab w:val="left" w:pos="3600"/>
                <w:tab w:val="left" w:pos="6840"/>
              </w:tabs>
              <w:rPr>
                <w:rFonts w:ascii="Garamond" w:hAnsi="Garamond"/>
                <w:sz w:val="24"/>
                <w:szCs w:val="24"/>
              </w:rPr>
            </w:pPr>
          </w:p>
        </w:tc>
        <w:tc>
          <w:tcPr>
            <w:tcW w:w="2977" w:type="dxa"/>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Pro případ, že věc bude rozhodována soudcem, který nemá specializaci na věci </w:t>
            </w:r>
            <w:r w:rsidRPr="005433A4">
              <w:rPr>
                <w:rFonts w:ascii="Garamond" w:hAnsi="Garamond"/>
                <w:sz w:val="24"/>
                <w:szCs w:val="24"/>
              </w:rPr>
              <w:lastRenderedPageBreak/>
              <w:t>pracovněprávní, je přísedícím:</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Hana Burdová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Blanka Hašková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Zdeněk Pěnčík</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rsidR="004E422A" w:rsidRDefault="004E422A" w:rsidP="00C43F80">
      <w:pPr>
        <w:spacing w:after="480"/>
        <w:rPr>
          <w:rFonts w:ascii="Garamond" w:hAnsi="Garamond"/>
        </w:rPr>
      </w:pPr>
    </w:p>
    <w:p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   </w:t>
      </w:r>
    </w:p>
    <w:p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Miroslavu </w:t>
      </w:r>
      <w:proofErr w:type="spellStart"/>
      <w:r w:rsidRPr="001C26DB">
        <w:rPr>
          <w:rFonts w:ascii="Garamond" w:hAnsi="Garamond"/>
          <w:bCs/>
          <w:sz w:val="24"/>
          <w:szCs w:val="24"/>
        </w:rPr>
        <w:t>Theissovou</w:t>
      </w:r>
      <w:proofErr w:type="spellEnd"/>
      <w:r w:rsidRPr="001C26DB">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rsidR="004E422A" w:rsidRPr="001C26DB" w:rsidRDefault="004E422A" w:rsidP="004E422A">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b/>
          <w:sz w:val="24"/>
          <w:szCs w:val="24"/>
        </w:rPr>
        <w:t xml:space="preserve">Mgr. Radka Nováková         </w:t>
      </w:r>
      <w:r w:rsidRPr="001C26DB">
        <w:rPr>
          <w:rFonts w:ascii="Garamond" w:hAnsi="Garamond"/>
          <w:sz w:val="24"/>
          <w:szCs w:val="24"/>
        </w:rPr>
        <w:t xml:space="preserve">-          pro soudce       Mgr. Milana Homolku                          </w:t>
      </w:r>
      <w:r w:rsidRPr="001C26DB">
        <w:rPr>
          <w:rFonts w:ascii="Garamond" w:hAnsi="Garamond"/>
          <w:i/>
          <w:sz w:val="24"/>
          <w:szCs w:val="24"/>
        </w:rPr>
        <w:t xml:space="preserve">zastupuje: Světlana Jarošová, </w:t>
      </w:r>
    </w:p>
    <w:p w:rsidR="004E422A" w:rsidRPr="005433A4" w:rsidRDefault="004E422A" w:rsidP="00C43F80">
      <w:pPr>
        <w:spacing w:after="200"/>
        <w:jc w:val="both"/>
        <w:rPr>
          <w:rFonts w:ascii="Garamond" w:hAnsi="Garamond"/>
          <w:i/>
          <w:sz w:val="24"/>
          <w:szCs w:val="24"/>
        </w:rPr>
      </w:pPr>
      <w:r w:rsidRPr="001C26DB">
        <w:rPr>
          <w:rFonts w:ascii="Garamond" w:hAnsi="Garamond"/>
          <w:i/>
          <w:sz w:val="24"/>
          <w:szCs w:val="24"/>
        </w:rPr>
        <w:t xml:space="preserve">   </w:t>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1C26DB">
        <w:rPr>
          <w:rFonts w:ascii="Garamond" w:hAnsi="Garamond"/>
          <w:i/>
          <w:sz w:val="24"/>
          <w:szCs w:val="24"/>
        </w:rPr>
        <w:t xml:space="preserve"> </w:t>
      </w:r>
      <w:r w:rsidRPr="005433A4">
        <w:rPr>
          <w:rFonts w:ascii="Garamond" w:hAnsi="Garamond"/>
          <w:i/>
          <w:sz w:val="24"/>
          <w:szCs w:val="24"/>
        </w:rPr>
        <w:t>Dana Bartoňová</w:t>
      </w:r>
    </w:p>
    <w:p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 Na základě pověření předsedou senátu provádí i jiné jednotlivé úkony v rozsahu vymezeném v § 11 zák. č. 121/2008 Sb.</w:t>
      </w:r>
    </w:p>
    <w:p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rsidR="004E422A" w:rsidRPr="005433A4" w:rsidRDefault="004E422A" w:rsidP="004E422A">
      <w:pPr>
        <w:ind w:right="-315"/>
        <w:rPr>
          <w:rFonts w:ascii="Garamond" w:hAnsi="Garamond"/>
          <w:bCs/>
          <w:i/>
          <w:sz w:val="12"/>
          <w:szCs w:val="12"/>
        </w:rPr>
      </w:pPr>
    </w:p>
    <w:p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pro soudní oddělení 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rsidR="004E422A" w:rsidRPr="005433A4" w:rsidRDefault="004E422A" w:rsidP="004E422A">
      <w:pPr>
        <w:ind w:left="2831" w:right="-171" w:firstLine="709"/>
        <w:rPr>
          <w:rFonts w:ascii="Garamond" w:hAnsi="Garamond"/>
          <w:bCs/>
          <w:i/>
          <w:sz w:val="12"/>
          <w:szCs w:val="12"/>
        </w:rPr>
      </w:pPr>
    </w:p>
    <w:p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lastRenderedPageBreak/>
        <w:t>Šárka Zelenková</w:t>
      </w:r>
      <w:r w:rsidRPr="005433A4">
        <w:rPr>
          <w:rFonts w:ascii="Garamond" w:hAnsi="Garamond"/>
          <w:sz w:val="24"/>
          <w:szCs w:val="24"/>
        </w:rPr>
        <w:tab/>
        <w:t>- pro soudní oddělení</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 xml:space="preserve">a spisy, kde je řešitelem JUDr. Oswaldová dle bodu </w:t>
      </w:r>
      <w:proofErr w:type="gramStart"/>
      <w:r w:rsidR="008921CA" w:rsidRPr="00CF6BA7">
        <w:rPr>
          <w:rFonts w:ascii="Garamond" w:hAnsi="Garamond"/>
          <w:sz w:val="24"/>
          <w:szCs w:val="24"/>
        </w:rPr>
        <w:t>4.3.19</w:t>
      </w:r>
      <w:proofErr w:type="gramEnd"/>
      <w:r w:rsidRPr="008921CA">
        <w:rPr>
          <w:rFonts w:ascii="Garamond" w:hAnsi="Garamond"/>
          <w:color w:val="FF0000"/>
          <w:sz w:val="24"/>
          <w:szCs w:val="24"/>
        </w:rPr>
        <w:tab/>
      </w:r>
      <w:r w:rsidRPr="005433A4">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Pr="005433A4">
        <w:rPr>
          <w:rFonts w:ascii="Garamond" w:hAnsi="Garamond"/>
          <w:i/>
          <w:sz w:val="24"/>
          <w:szCs w:val="24"/>
        </w:rPr>
        <w:t>zastupuje: Dana Bartoňová, Světlana Jarošová</w:t>
      </w:r>
    </w:p>
    <w:p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rsidR="004E422A" w:rsidRPr="005433A4" w:rsidRDefault="004E422A" w:rsidP="004E422A">
      <w:pPr>
        <w:ind w:right="-171"/>
        <w:rPr>
          <w:rFonts w:ascii="Garamond" w:hAnsi="Garamond"/>
          <w:bCs/>
          <w:i/>
          <w:sz w:val="12"/>
          <w:szCs w:val="12"/>
        </w:rPr>
      </w:pPr>
    </w:p>
    <w:p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EPR,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a asistenti soudce Mgr. Radka Nováková a Mgr. Jan Procházka úkony v rejstříku „C“ ve věcech řízení o vydání platebního rozkazu, provádí úkony podle § 14 písm. a), b), d) zák. č. 121/2008 Sb., a dále provádí úkony podle vyhlášky č. 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EC,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Nela Bechynská</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424D78" w:rsidRPr="00066C44">
        <w:rPr>
          <w:rFonts w:ascii="Garamond" w:hAnsi="Garamond"/>
          <w:bCs/>
          <w:i/>
          <w:sz w:val="24"/>
          <w:szCs w:val="24"/>
        </w:rPr>
        <w:t>Petra Neužilová</w:t>
      </w:r>
    </w:p>
    <w:p w:rsidR="004E422A" w:rsidRPr="00066C44" w:rsidRDefault="004E422A" w:rsidP="004E422A">
      <w:pPr>
        <w:jc w:val="both"/>
        <w:rPr>
          <w:rFonts w:ascii="Garamond" w:hAnsi="Garamond"/>
          <w:sz w:val="24"/>
          <w:szCs w:val="24"/>
        </w:rPr>
      </w:pPr>
    </w:p>
    <w:p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rsidR="00424D78" w:rsidRPr="00E21E7E" w:rsidRDefault="00424D78" w:rsidP="00F133CC">
      <w:pPr>
        <w:spacing w:after="48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rsidR="004E422A" w:rsidRPr="005433A4" w:rsidRDefault="00424D78" w:rsidP="004E422A">
      <w:pPr>
        <w:ind w:left="709" w:hanging="705"/>
        <w:rPr>
          <w:rFonts w:ascii="Garamond" w:hAnsi="Garamond"/>
          <w:bCs/>
          <w:sz w:val="24"/>
          <w:szCs w:val="24"/>
        </w:rPr>
      </w:pPr>
      <w:r>
        <w:rPr>
          <w:rFonts w:ascii="Garamond" w:hAnsi="Garamond"/>
          <w:bCs/>
          <w:sz w:val="24"/>
          <w:szCs w:val="24"/>
        </w:rPr>
        <w:lastRenderedPageBreak/>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rsidR="004E422A" w:rsidRPr="005433A4" w:rsidRDefault="004E422A" w:rsidP="004E422A">
      <w:pPr>
        <w:jc w:val="both"/>
        <w:rPr>
          <w:rFonts w:ascii="Garamond" w:hAnsi="Garamond"/>
          <w:sz w:val="24"/>
          <w:szCs w:val="24"/>
        </w:rPr>
      </w:pPr>
    </w:p>
    <w:p w:rsidR="004E422A" w:rsidRPr="005433A4" w:rsidRDefault="004E422A" w:rsidP="00F92982">
      <w:pPr>
        <w:spacing w:after="64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apod.</w:t>
      </w:r>
    </w:p>
    <w:p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C43F80" w:rsidRDefault="004E422A" w:rsidP="00F92982">
      <w:pPr>
        <w:spacing w:after="6000"/>
        <w:rPr>
          <w:rFonts w:ascii="Garamond" w:hAnsi="Garamond"/>
          <w:b/>
          <w:sz w:val="24"/>
          <w:szCs w:val="24"/>
        </w:rPr>
      </w:pPr>
      <w:r w:rsidRPr="005433A4">
        <w:rPr>
          <w:rFonts w:ascii="Garamond" w:hAnsi="Garamond"/>
          <w:sz w:val="24"/>
          <w:szCs w:val="24"/>
        </w:rPr>
        <w:t xml:space="preserve">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zajišťuje realizaci úkonů i na ostatních úsecích.</w:t>
      </w:r>
    </w:p>
    <w:p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rsidTr="00C602A1">
        <w:tc>
          <w:tcPr>
            <w:tcW w:w="127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rsidR="004E422A" w:rsidRPr="005433A4" w:rsidRDefault="004E422A" w:rsidP="00C602A1">
            <w:pPr>
              <w:ind w:right="-64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rsidR="004E422A" w:rsidRPr="005433A4" w:rsidRDefault="004E422A" w:rsidP="000F610A">
            <w:pPr>
              <w:ind w:right="-648"/>
              <w:rPr>
                <w:rFonts w:ascii="Garamond" w:hAnsi="Garamond"/>
                <w:sz w:val="24"/>
                <w:szCs w:val="24"/>
                <w:u w:val="single"/>
              </w:rPr>
            </w:pPr>
          </w:p>
        </w:tc>
        <w:tc>
          <w:tcPr>
            <w:tcW w:w="7513" w:type="dxa"/>
          </w:tcPr>
          <w:p w:rsidR="004E422A" w:rsidRPr="005433A4" w:rsidRDefault="004E422A" w:rsidP="00C602A1">
            <w:pPr>
              <w:jc w:val="both"/>
              <w:rPr>
                <w:rFonts w:ascii="Garamond" w:hAnsi="Garamond"/>
                <w:strike/>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tc>
        <w:tc>
          <w:tcPr>
            <w:tcW w:w="1701" w:type="dxa"/>
          </w:tcPr>
          <w:p w:rsidR="004E422A" w:rsidRPr="005433A4" w:rsidRDefault="004E422A" w:rsidP="00C602A1">
            <w:pPr>
              <w:tabs>
                <w:tab w:val="left" w:pos="3600"/>
                <w:tab w:val="left" w:pos="6840"/>
              </w:tabs>
              <w:rPr>
                <w:rFonts w:ascii="Garamond" w:hAnsi="Garamond"/>
                <w:b/>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CF6BA7" w:rsidRDefault="004E422A" w:rsidP="00C602A1">
            <w:pPr>
              <w:ind w:right="-648"/>
              <w:rPr>
                <w:rFonts w:ascii="Garamond" w:hAnsi="Garamond"/>
                <w:i/>
                <w:sz w:val="24"/>
                <w:szCs w:val="24"/>
              </w:rPr>
            </w:pPr>
          </w:p>
          <w:p w:rsidR="004E422A" w:rsidRPr="005433A4" w:rsidRDefault="004E422A" w:rsidP="00C602A1">
            <w:pPr>
              <w:ind w:right="-648"/>
              <w:rPr>
                <w:rFonts w:ascii="Garamond" w:hAnsi="Garamond"/>
                <w:bCs/>
                <w:i/>
                <w:sz w:val="24"/>
                <w:szCs w:val="24"/>
              </w:rPr>
            </w:pPr>
          </w:p>
        </w:tc>
        <w:tc>
          <w:tcPr>
            <w:tcW w:w="7513" w:type="dxa"/>
          </w:tcPr>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4E422A" w:rsidRPr="00CF6BA7"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rsidR="00505E9C" w:rsidRPr="005433A4" w:rsidRDefault="00505E9C" w:rsidP="00505E9C">
            <w:pPr>
              <w:ind w:right="-108"/>
              <w:rPr>
                <w:rFonts w:ascii="Garamond" w:hAnsi="Garamond"/>
                <w:sz w:val="24"/>
                <w:szCs w:val="24"/>
              </w:rPr>
            </w:pPr>
          </w:p>
          <w:p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rsidR="004E422A" w:rsidRPr="005433A4" w:rsidRDefault="004E422A" w:rsidP="00C602A1">
            <w:pPr>
              <w:rPr>
                <w:rFonts w:ascii="Garamond" w:hAnsi="Garamond"/>
                <w:b/>
                <w:sz w:val="24"/>
                <w:szCs w:val="24"/>
              </w:rPr>
            </w:pPr>
          </w:p>
          <w:p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rsidR="004E422A" w:rsidRPr="00CF6BA7" w:rsidRDefault="004E422A" w:rsidP="00C602A1">
            <w:pPr>
              <w:rPr>
                <w:rFonts w:ascii="Garamond" w:hAnsi="Garamond"/>
                <w:i/>
                <w:sz w:val="24"/>
                <w:szCs w:val="24"/>
              </w:rPr>
            </w:pPr>
            <w:r w:rsidRPr="00CF6BA7">
              <w:rPr>
                <w:rFonts w:ascii="Garamond" w:hAnsi="Garamond"/>
                <w:i/>
                <w:sz w:val="24"/>
                <w:szCs w:val="24"/>
              </w:rPr>
              <w:t>zastupuje:</w:t>
            </w:r>
          </w:p>
          <w:p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rsidR="004E422A" w:rsidRDefault="004E422A" w:rsidP="00C602A1">
            <w:pPr>
              <w:rPr>
                <w:rFonts w:ascii="Garamond" w:hAnsi="Garamond"/>
                <w:i/>
                <w:sz w:val="24"/>
                <w:szCs w:val="24"/>
              </w:rPr>
            </w:pPr>
            <w:r w:rsidRPr="00CF6BA7">
              <w:rPr>
                <w:rFonts w:ascii="Garamond" w:hAnsi="Garamond"/>
                <w:i/>
                <w:sz w:val="24"/>
                <w:szCs w:val="24"/>
              </w:rPr>
              <w:t>Mgr. Gabriela Plášilová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rPr>
                <w:rFonts w:ascii="Garamond" w:hAnsi="Garamond"/>
                <w:i/>
                <w:sz w:val="24"/>
                <w:szCs w:val="24"/>
              </w:rPr>
            </w:pPr>
          </w:p>
          <w:p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rsidR="004E422A" w:rsidRDefault="004E422A" w:rsidP="00627230">
            <w:pPr>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5433A4" w:rsidRDefault="004E422A" w:rsidP="007661E7">
            <w:pPr>
              <w:ind w:right="-648"/>
              <w:rPr>
                <w:rFonts w:ascii="Garamond" w:hAnsi="Garamond"/>
                <w:bCs/>
                <w:i/>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rsidR="00D14F68" w:rsidRDefault="004E422A" w:rsidP="00D14F68">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rsidR="004B7344" w:rsidRDefault="004B7344" w:rsidP="004B7344">
            <w:pPr>
              <w:ind w:right="-108"/>
              <w:rPr>
                <w:rFonts w:ascii="Garamond" w:hAnsi="Garamond"/>
                <w:b/>
                <w:bCs/>
                <w:color w:val="FF0000"/>
                <w:sz w:val="24"/>
                <w:szCs w:val="24"/>
              </w:rPr>
            </w:pPr>
          </w:p>
          <w:p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rsidR="004B7344" w:rsidRDefault="004B7344" w:rsidP="004B7344">
            <w:pPr>
              <w:ind w:right="-108"/>
              <w:rPr>
                <w:rFonts w:ascii="Garamond" w:hAnsi="Garamond"/>
                <w:bCs/>
                <w:i/>
                <w:color w:val="FF0000"/>
                <w:sz w:val="24"/>
                <w:szCs w:val="24"/>
              </w:rPr>
            </w:pPr>
          </w:p>
          <w:p w:rsidR="00BD47FE" w:rsidRPr="00F74F92" w:rsidRDefault="00BD47FE" w:rsidP="004B7344">
            <w:pPr>
              <w:ind w:right="-108"/>
              <w:rPr>
                <w:rFonts w:ascii="Garamond" w:hAnsi="Garamond"/>
                <w:bCs/>
                <w:i/>
                <w:color w:val="FF0000"/>
                <w:sz w:val="24"/>
                <w:szCs w:val="24"/>
              </w:rPr>
            </w:pPr>
          </w:p>
        </w:tc>
        <w:tc>
          <w:tcPr>
            <w:tcW w:w="7513" w:type="dxa"/>
          </w:tcPr>
          <w:p w:rsidR="004B7344" w:rsidRPr="005433A4" w:rsidRDefault="004B7344" w:rsidP="004B7344">
            <w:pPr>
              <w:rPr>
                <w:rFonts w:ascii="Garamond" w:hAnsi="Garamond"/>
                <w:sz w:val="24"/>
                <w:szCs w:val="24"/>
              </w:rPr>
            </w:pPr>
          </w:p>
          <w:p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B7344" w:rsidRDefault="004B7344" w:rsidP="004B7344">
            <w:pPr>
              <w:tabs>
                <w:tab w:val="left" w:pos="3600"/>
                <w:tab w:val="left" w:pos="6840"/>
              </w:tabs>
              <w:rPr>
                <w:rFonts w:ascii="Garamond" w:hAnsi="Garamond"/>
                <w:b/>
                <w:sz w:val="24"/>
                <w:szCs w:val="24"/>
              </w:rPr>
            </w:pPr>
          </w:p>
          <w:p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rsidR="004B7344" w:rsidRPr="005433A4" w:rsidRDefault="004B7344" w:rsidP="004B7344">
            <w:pPr>
              <w:ind w:right="-108"/>
              <w:rPr>
                <w:rFonts w:ascii="Garamond" w:hAnsi="Garamond"/>
                <w:b/>
                <w:bCs/>
                <w:sz w:val="24"/>
                <w:szCs w:val="24"/>
              </w:rPr>
            </w:pPr>
          </w:p>
          <w:p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rsidR="004B7344" w:rsidRPr="005433A4" w:rsidRDefault="004B7344" w:rsidP="000F610A">
            <w:pPr>
              <w:ind w:right="-648"/>
              <w:rPr>
                <w:rFonts w:ascii="Garamond" w:hAnsi="Garamond"/>
                <w:bCs/>
                <w:i/>
                <w:sz w:val="24"/>
                <w:szCs w:val="24"/>
              </w:rPr>
            </w:pPr>
          </w:p>
        </w:tc>
        <w:tc>
          <w:tcPr>
            <w:tcW w:w="7513" w:type="dxa"/>
          </w:tcPr>
          <w:p w:rsidR="004B7344" w:rsidRPr="005433A4" w:rsidRDefault="004B7344" w:rsidP="004B7344">
            <w:pPr>
              <w:jc w:val="both"/>
              <w:rPr>
                <w:rFonts w:ascii="Garamond" w:hAnsi="Garamond"/>
                <w:sz w:val="24"/>
                <w:szCs w:val="24"/>
              </w:rPr>
            </w:pPr>
          </w:p>
          <w:p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rsidR="004B7344" w:rsidRPr="005433A4" w:rsidRDefault="004B7344" w:rsidP="004B7344">
            <w:pPr>
              <w:ind w:right="-108"/>
              <w:rPr>
                <w:rFonts w:ascii="Garamond" w:hAnsi="Garamond"/>
                <w:sz w:val="24"/>
                <w:szCs w:val="24"/>
              </w:rPr>
            </w:pPr>
          </w:p>
          <w:p w:rsidR="004B7344" w:rsidRPr="005433A4" w:rsidRDefault="004B7344" w:rsidP="004B7344">
            <w:pPr>
              <w:tabs>
                <w:tab w:val="left" w:pos="708"/>
              </w:tabs>
              <w:jc w:val="both"/>
              <w:rPr>
                <w:rFonts w:ascii="Garamond" w:hAnsi="Garamond"/>
                <w:b/>
                <w:sz w:val="24"/>
                <w:szCs w:val="24"/>
              </w:rPr>
            </w:pPr>
          </w:p>
        </w:tc>
        <w:tc>
          <w:tcPr>
            <w:tcW w:w="1701" w:type="dxa"/>
          </w:tcPr>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rsidTr="00C602A1">
        <w:tc>
          <w:tcPr>
            <w:tcW w:w="1271" w:type="dxa"/>
          </w:tcPr>
          <w:p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rsidR="001962F1" w:rsidRPr="005433A4" w:rsidRDefault="001962F1" w:rsidP="001962F1">
            <w:pPr>
              <w:ind w:right="-108"/>
              <w:rPr>
                <w:rFonts w:ascii="Garamond" w:hAnsi="Garamond"/>
                <w:b/>
                <w:bCs/>
                <w:sz w:val="24"/>
                <w:szCs w:val="24"/>
              </w:rPr>
            </w:pPr>
          </w:p>
          <w:p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rsidR="001962F1" w:rsidRPr="005433A4" w:rsidRDefault="001962F1" w:rsidP="001962F1">
            <w:pPr>
              <w:ind w:right="-648"/>
              <w:rPr>
                <w:rFonts w:ascii="Garamond" w:hAnsi="Garamond"/>
                <w:bCs/>
                <w:i/>
                <w:sz w:val="24"/>
                <w:szCs w:val="24"/>
              </w:rPr>
            </w:pPr>
          </w:p>
        </w:tc>
        <w:tc>
          <w:tcPr>
            <w:tcW w:w="7513" w:type="dxa"/>
          </w:tcPr>
          <w:p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rsidR="001962F1" w:rsidRDefault="001962F1" w:rsidP="001962F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1962F1" w:rsidRPr="005433A4" w:rsidRDefault="001962F1" w:rsidP="001962F1">
            <w:pPr>
              <w:tabs>
                <w:tab w:val="left" w:pos="3600"/>
                <w:tab w:val="left" w:pos="6840"/>
              </w:tabs>
              <w:spacing w:before="160"/>
              <w:rPr>
                <w:rFonts w:ascii="Garamond" w:hAnsi="Garamond"/>
                <w:b/>
                <w:sz w:val="24"/>
                <w:szCs w:val="24"/>
              </w:rPr>
            </w:pPr>
            <w:r>
              <w:rPr>
                <w:rFonts w:ascii="Garamond" w:hAnsi="Garamond"/>
                <w:b/>
                <w:sz w:val="24"/>
                <w:szCs w:val="24"/>
              </w:rPr>
              <w:t>200 %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20</w:t>
            </w:r>
            <w:r w:rsidRPr="005433A4">
              <w:rPr>
                <w:rFonts w:ascii="Garamond" w:hAnsi="Garamond"/>
                <w:sz w:val="24"/>
                <w:szCs w:val="24"/>
              </w:rPr>
              <w:t>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20</w:t>
            </w:r>
            <w:r w:rsidRPr="005433A4">
              <w:rPr>
                <w:rFonts w:ascii="Garamond" w:hAnsi="Garamond"/>
                <w:sz w:val="24"/>
                <w:szCs w:val="24"/>
              </w:rPr>
              <w:t>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100</w:t>
            </w:r>
            <w:r w:rsidRPr="005433A4">
              <w:rPr>
                <w:rFonts w:ascii="Garamond" w:hAnsi="Garamond"/>
                <w:sz w:val="24"/>
                <w:szCs w:val="24"/>
              </w:rPr>
              <w:t xml:space="preserve"> %</w:t>
            </w:r>
          </w:p>
          <w:p w:rsidR="001962F1" w:rsidRPr="005433A4" w:rsidRDefault="001962F1" w:rsidP="001962F1">
            <w:pPr>
              <w:tabs>
                <w:tab w:val="left" w:pos="3600"/>
                <w:tab w:val="left" w:pos="6840"/>
              </w:tabs>
              <w:spacing w:after="200"/>
              <w:rPr>
                <w:rFonts w:ascii="Garamond" w:hAnsi="Garamond"/>
                <w:sz w:val="24"/>
                <w:szCs w:val="24"/>
              </w:rPr>
            </w:pPr>
            <w:r>
              <w:rPr>
                <w:rFonts w:ascii="Garamond" w:hAnsi="Garamond"/>
                <w:sz w:val="24"/>
                <w:szCs w:val="24"/>
              </w:rPr>
              <w:t>10</w:t>
            </w:r>
            <w:r w:rsidRPr="005433A4">
              <w:rPr>
                <w:rFonts w:ascii="Garamond" w:hAnsi="Garamond"/>
                <w:sz w:val="24"/>
                <w:szCs w:val="24"/>
              </w:rPr>
              <w:t>0 %</w:t>
            </w:r>
          </w:p>
          <w:p w:rsidR="001962F1" w:rsidRDefault="001962F1" w:rsidP="001962F1">
            <w:pPr>
              <w:tabs>
                <w:tab w:val="left" w:pos="3600"/>
                <w:tab w:val="left" w:pos="6840"/>
              </w:tabs>
              <w:rPr>
                <w:rFonts w:ascii="Garamond" w:hAnsi="Garamond"/>
                <w:b/>
                <w:sz w:val="24"/>
                <w:szCs w:val="24"/>
              </w:rPr>
            </w:pPr>
            <w:r>
              <w:rPr>
                <w:rFonts w:ascii="Garamond" w:hAnsi="Garamond"/>
                <w:b/>
                <w:sz w:val="24"/>
                <w:szCs w:val="24"/>
              </w:rPr>
              <w:t>20</w:t>
            </w:r>
            <w:r w:rsidRPr="005433A4">
              <w:rPr>
                <w:rFonts w:ascii="Garamond" w:hAnsi="Garamond"/>
                <w:b/>
                <w:sz w:val="24"/>
                <w:szCs w:val="24"/>
              </w:rPr>
              <w:t>0 %</w:t>
            </w:r>
          </w:p>
          <w:p w:rsidR="001962F1" w:rsidRDefault="001962F1" w:rsidP="001962F1">
            <w:pPr>
              <w:tabs>
                <w:tab w:val="left" w:pos="3600"/>
                <w:tab w:val="left" w:pos="6840"/>
              </w:tabs>
              <w:rPr>
                <w:rFonts w:ascii="Garamond" w:hAnsi="Garamond"/>
                <w:b/>
                <w:sz w:val="24"/>
                <w:szCs w:val="24"/>
              </w:rPr>
            </w:pPr>
            <w:r>
              <w:rPr>
                <w:rFonts w:ascii="Garamond" w:hAnsi="Garamond"/>
                <w:b/>
                <w:sz w:val="24"/>
                <w:szCs w:val="24"/>
              </w:rPr>
              <w:t>100 %</w:t>
            </w:r>
          </w:p>
          <w:p w:rsidR="001962F1" w:rsidRPr="005433A4" w:rsidRDefault="001962F1" w:rsidP="001962F1">
            <w:pPr>
              <w:tabs>
                <w:tab w:val="left" w:pos="3600"/>
                <w:tab w:val="left" w:pos="6840"/>
              </w:tabs>
              <w:spacing w:before="200"/>
              <w:rPr>
                <w:rFonts w:ascii="Garamond" w:hAnsi="Garamond"/>
                <w:b/>
                <w:sz w:val="24"/>
                <w:szCs w:val="24"/>
              </w:rPr>
            </w:pPr>
            <w:r>
              <w:rPr>
                <w:rFonts w:ascii="Garamond" w:hAnsi="Garamond"/>
                <w:b/>
                <w:sz w:val="24"/>
                <w:szCs w:val="24"/>
              </w:rPr>
              <w:t>20</w:t>
            </w:r>
            <w:r w:rsidRPr="005433A4">
              <w:rPr>
                <w:rFonts w:ascii="Garamond" w:hAnsi="Garamond"/>
                <w:b/>
                <w:sz w:val="24"/>
                <w:szCs w:val="24"/>
              </w:rPr>
              <w:t>0 %</w:t>
            </w:r>
          </w:p>
        </w:tc>
      </w:tr>
    </w:tbl>
    <w:p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rsidR="004E422A" w:rsidRPr="005433A4" w:rsidRDefault="004E422A" w:rsidP="004E422A">
      <w:pPr>
        <w:rPr>
          <w:rFonts w:ascii="Garamond" w:hAnsi="Garamond"/>
          <w:bCs/>
          <w:sz w:val="24"/>
          <w:szCs w:val="24"/>
        </w:rPr>
      </w:pPr>
      <w:r w:rsidRPr="005433A4">
        <w:rPr>
          <w:rFonts w:ascii="Garamond" w:hAnsi="Garamond"/>
          <w:sz w:val="24"/>
          <w:szCs w:val="24"/>
        </w:rPr>
        <w:t>7.2.1</w:t>
      </w:r>
      <w:r w:rsidRPr="005433A4">
        <w:rPr>
          <w:rFonts w:ascii="Garamond" w:hAnsi="Garamond"/>
          <w:b/>
          <w:sz w:val="24"/>
          <w:szCs w:val="24"/>
        </w:rPr>
        <w:tab/>
      </w:r>
      <w:r w:rsidRPr="005433A4">
        <w:rPr>
          <w:rFonts w:ascii="Garamond" w:hAnsi="Garamond"/>
          <w:bCs/>
          <w:sz w:val="24"/>
          <w:szCs w:val="24"/>
        </w:rPr>
        <w:t>Asistenti soudce: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Mgr. Radka Nováková</w:t>
      </w:r>
      <w:r w:rsidRPr="005433A4">
        <w:rPr>
          <w:rFonts w:ascii="Garamond" w:hAnsi="Garamond"/>
          <w:bCs/>
          <w:sz w:val="24"/>
          <w:szCs w:val="24"/>
        </w:rPr>
        <w:tab/>
        <w:t>-</w:t>
      </w:r>
      <w:r w:rsidRPr="005433A4">
        <w:rPr>
          <w:rFonts w:ascii="Garamond" w:hAnsi="Garamond"/>
          <w:bCs/>
          <w:sz w:val="24"/>
          <w:szCs w:val="24"/>
        </w:rPr>
        <w:tab/>
        <w:t xml:space="preserve">pro soudce </w:t>
      </w:r>
      <w:r w:rsidRPr="005433A4">
        <w:rPr>
          <w:rFonts w:ascii="Garamond" w:hAnsi="Garamond"/>
          <w:bCs/>
          <w:sz w:val="24"/>
          <w:szCs w:val="24"/>
        </w:rPr>
        <w:tab/>
      </w:r>
      <w:r w:rsidRPr="005433A4">
        <w:rPr>
          <w:rFonts w:ascii="Garamond" w:hAnsi="Garamond"/>
          <w:sz w:val="24"/>
          <w:szCs w:val="24"/>
        </w:rPr>
        <w:t xml:space="preserve">Mgr. Milana Homolku          </w:t>
      </w:r>
      <w:r w:rsidRPr="005433A4">
        <w:rPr>
          <w:rFonts w:ascii="Garamond" w:hAnsi="Garamond"/>
          <w:i/>
          <w:sz w:val="24"/>
          <w:szCs w:val="24"/>
        </w:rPr>
        <w:t xml:space="preserve">zastupuje: Martina </w:t>
      </w:r>
      <w:r w:rsidR="004C0414">
        <w:rPr>
          <w:rFonts w:ascii="Garamond" w:hAnsi="Garamond"/>
          <w:i/>
          <w:sz w:val="24"/>
          <w:szCs w:val="24"/>
        </w:rPr>
        <w:t>Pohořalá</w:t>
      </w:r>
      <w:r w:rsidRPr="005433A4">
        <w:rPr>
          <w:rFonts w:ascii="Garamond" w:hAnsi="Garamond"/>
          <w:i/>
          <w:sz w:val="24"/>
          <w:szCs w:val="24"/>
        </w:rPr>
        <w:t>,</w:t>
      </w:r>
    </w:p>
    <w:p w:rsidR="00E86DC8" w:rsidRDefault="004E422A" w:rsidP="00E86DC8">
      <w:pPr>
        <w:spacing w:after="240"/>
        <w:rPr>
          <w:rFonts w:ascii="Garamond" w:hAnsi="Garamond"/>
          <w:bCs/>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Miluše Korpová</w:t>
      </w:r>
      <w:r w:rsidR="00E86DC8">
        <w:rPr>
          <w:rFonts w:ascii="Garamond" w:hAnsi="Garamond"/>
          <w:bCs/>
          <w:sz w:val="24"/>
          <w:szCs w:val="24"/>
        </w:rPr>
        <w:tab/>
      </w:r>
    </w:p>
    <w:p w:rsidR="004E422A" w:rsidRPr="005433A4" w:rsidRDefault="004E422A" w:rsidP="00E86DC8">
      <w:pPr>
        <w:spacing w:after="240"/>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9671A2">
        <w:rPr>
          <w:rFonts w:ascii="Garamond" w:hAnsi="Garamond"/>
          <w:sz w:val="24"/>
          <w:szCs w:val="24"/>
        </w:rPr>
        <w:t>1</w:t>
      </w:r>
      <w:r w:rsidRPr="005433A4">
        <w:rPr>
          <w:rFonts w:ascii="Garamond" w:hAnsi="Garamond"/>
          <w:sz w:val="24"/>
          <w:szCs w:val="24"/>
        </w:rPr>
        <w:t xml:space="preserve"> a § 14 písm. a, b, d, zák. č. 121/2008 Sb. Na základě pověření předsedou senátu provádí i jiné jednotlivé úkony v rozsahu vymezeném v § 11 zák. č. 121/2008 Sb.</w:t>
      </w:r>
    </w:p>
    <w:p w:rsidR="004E422A" w:rsidRPr="005433A4" w:rsidRDefault="004E422A" w:rsidP="004E422A">
      <w:pPr>
        <w:spacing w:after="8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424D78" w:rsidRDefault="004E422A" w:rsidP="00424D78">
      <w:pPr>
        <w:spacing w:after="280"/>
        <w:jc w:val="both"/>
        <w:rPr>
          <w:rFonts w:ascii="Garamond" w:hAnsi="Garamond"/>
          <w:bCs/>
          <w:strike/>
          <w:color w:val="FF0000"/>
          <w:sz w:val="24"/>
          <w:szCs w:val="24"/>
        </w:rPr>
      </w:pPr>
      <w:r w:rsidRPr="005433A4">
        <w:rPr>
          <w:rFonts w:ascii="Garamond" w:hAnsi="Garamond"/>
          <w:bCs/>
          <w:sz w:val="24"/>
          <w:szCs w:val="24"/>
        </w:rPr>
        <w:t>Podle potřeby na základě pokynu místopředsedy soudu ve stanovených termínech sepisuj</w:t>
      </w:r>
      <w:r w:rsidR="00424D78">
        <w:rPr>
          <w:rFonts w:ascii="Garamond" w:hAnsi="Garamond"/>
          <w:bCs/>
          <w:sz w:val="24"/>
          <w:szCs w:val="24"/>
        </w:rPr>
        <w:t>e</w:t>
      </w:r>
      <w:r w:rsidRPr="005433A4">
        <w:rPr>
          <w:rFonts w:ascii="Garamond" w:hAnsi="Garamond"/>
          <w:bCs/>
          <w:sz w:val="24"/>
          <w:szCs w:val="24"/>
        </w:rPr>
        <w:t xml:space="preserve"> návrhy na zahájení řízení.</w:t>
      </w:r>
      <w:r w:rsidR="00EA5860">
        <w:rPr>
          <w:rFonts w:ascii="Garamond" w:hAnsi="Garamond"/>
          <w:bCs/>
          <w:sz w:val="24"/>
          <w:szCs w:val="24"/>
        </w:rPr>
        <w:t xml:space="preserve"> </w:t>
      </w:r>
    </w:p>
    <w:p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 xml:space="preserve">7.2.2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D306EA">
        <w:rPr>
          <w:rFonts w:ascii="Garamond" w:hAnsi="Garamond"/>
          <w:sz w:val="24"/>
          <w:szCs w:val="24"/>
        </w:rPr>
        <w:t xml:space="preserve">- pro soudní oddělení 19, 26 </w:t>
      </w:r>
      <w:r w:rsidRPr="005433A4">
        <w:rPr>
          <w:rFonts w:ascii="Garamond" w:hAnsi="Garamond"/>
          <w:sz w:val="24"/>
          <w:szCs w:val="24"/>
        </w:rPr>
        <w:t>a</w:t>
      </w:r>
      <w:r w:rsidR="00D306EA">
        <w:rPr>
          <w:rFonts w:ascii="Garamond" w:hAnsi="Garamond"/>
          <w:sz w:val="24"/>
          <w:szCs w:val="24"/>
        </w:rPr>
        <w:t xml:space="preserve"> spisy, kde</w:t>
      </w:r>
      <w:r w:rsidRPr="005433A4">
        <w:rPr>
          <w:rFonts w:ascii="Garamond" w:hAnsi="Garamond"/>
          <w:sz w:val="24"/>
          <w:szCs w:val="24"/>
        </w:rPr>
        <w:t xml:space="preserve"> </w:t>
      </w:r>
      <w:r w:rsidR="00D306EA">
        <w:rPr>
          <w:rFonts w:ascii="Garamond" w:hAnsi="Garamond"/>
          <w:sz w:val="24"/>
          <w:szCs w:val="24"/>
        </w:rPr>
        <w:t>je</w:t>
      </w:r>
      <w:r w:rsidRPr="005433A4">
        <w:rPr>
          <w:rFonts w:ascii="Garamond" w:hAnsi="Garamond"/>
          <w:sz w:val="24"/>
          <w:szCs w:val="24"/>
        </w:rPr>
        <w:tab/>
      </w:r>
      <w:r w:rsidRPr="005433A4">
        <w:rPr>
          <w:rFonts w:ascii="Garamond" w:hAnsi="Garamond"/>
          <w:i/>
          <w:sz w:val="24"/>
          <w:szCs w:val="24"/>
        </w:rPr>
        <w:t>zastupuje Bc. Jaroslava Doudová, Miluše Korpová</w:t>
      </w:r>
    </w:p>
    <w:p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00D306EA">
        <w:rPr>
          <w:rFonts w:ascii="Garamond" w:hAnsi="Garamond"/>
          <w:sz w:val="24"/>
          <w:szCs w:val="24"/>
        </w:rPr>
        <w:t xml:space="preserve">řešitelem Mgr. Milan Homolka dle bodu </w:t>
      </w:r>
      <w:proofErr w:type="gramStart"/>
      <w:r w:rsidR="00D306EA">
        <w:rPr>
          <w:rFonts w:ascii="Garamond" w:hAnsi="Garamond"/>
          <w:sz w:val="24"/>
          <w:szCs w:val="24"/>
        </w:rPr>
        <w:t>4.3.21</w:t>
      </w:r>
      <w:proofErr w:type="gramEnd"/>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CD69C8" w:rsidRPr="005433A4">
        <w:rPr>
          <w:rFonts w:ascii="Garamond" w:hAnsi="Garamond"/>
          <w:sz w:val="24"/>
          <w:szCs w:val="24"/>
        </w:rPr>
        <w:t>25</w:t>
      </w:r>
      <w:r w:rsidR="00424D78">
        <w:rPr>
          <w:rFonts w:ascii="Garamond" w:hAnsi="Garamond"/>
          <w:sz w:val="24"/>
          <w:szCs w:val="24"/>
        </w:rPr>
        <w:t>,</w:t>
      </w:r>
      <w:r w:rsidR="00CD69C8" w:rsidRPr="005433A4">
        <w:rPr>
          <w:rFonts w:ascii="Garamond" w:hAnsi="Garamond"/>
          <w:sz w:val="24"/>
          <w:szCs w:val="24"/>
        </w:rPr>
        <w:t xml:space="preserve"> 29</w:t>
      </w:r>
      <w:r w:rsidR="00424D78">
        <w:rPr>
          <w:rFonts w:ascii="Garamond" w:hAnsi="Garamond"/>
          <w:sz w:val="24"/>
          <w:szCs w:val="24"/>
        </w:rPr>
        <w:t xml:space="preserve"> a 18</w:t>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D306EA">
        <w:rPr>
          <w:rFonts w:ascii="Garamond" w:hAnsi="Garamond"/>
          <w:sz w:val="24"/>
          <w:szCs w:val="24"/>
        </w:rPr>
        <w:t>30</w:t>
      </w:r>
      <w:r w:rsidRPr="005433A4">
        <w:rPr>
          <w:rFonts w:ascii="Garamond" w:hAnsi="Garamond"/>
          <w:sz w:val="24"/>
          <w:szCs w:val="24"/>
        </w:rPr>
        <w:t xml:space="preserve"> a 27</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a asistentka soudce Mgr. Radka Nováková úkony podle §  11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zastupují asistenti soudce Mgr. Radka Nováková a Mgr. Jan Procházka.</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 xml:space="preserve">7.2.3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b/>
          <w:sz w:val="24"/>
          <w:szCs w:val="24"/>
        </w:rPr>
        <w:t xml:space="preserve">Alena Chválná  </w:t>
      </w:r>
      <w:r w:rsidRPr="005433A4">
        <w:rPr>
          <w:rFonts w:ascii="Garamond" w:hAnsi="Garamond"/>
          <w:b/>
          <w:sz w:val="24"/>
          <w:szCs w:val="24"/>
        </w:rPr>
        <w:tab/>
      </w:r>
      <w:r w:rsidRPr="005433A4">
        <w:rPr>
          <w:rFonts w:ascii="Garamond" w:hAnsi="Garamond"/>
          <w:sz w:val="24"/>
          <w:szCs w:val="24"/>
        </w:rPr>
        <w:t xml:space="preserve">- pro soudní oddělení </w:t>
      </w:r>
      <w:r w:rsidR="00D23380">
        <w:rPr>
          <w:rFonts w:ascii="Garamond" w:hAnsi="Garamond"/>
          <w:sz w:val="24"/>
          <w:szCs w:val="24"/>
        </w:rPr>
        <w:t>21, 30,</w:t>
      </w:r>
      <w:r w:rsidRPr="005433A4">
        <w:rPr>
          <w:rFonts w:ascii="Garamond" w:hAnsi="Garamond"/>
          <w:sz w:val="24"/>
          <w:szCs w:val="24"/>
        </w:rPr>
        <w:t xml:space="preserve"> 18</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rsidR="004E422A" w:rsidRPr="005433A4" w:rsidRDefault="004E422A" w:rsidP="004E422A">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Pr="005433A4">
        <w:rPr>
          <w:rFonts w:ascii="Garamond" w:hAnsi="Garamond"/>
          <w:sz w:val="24"/>
          <w:szCs w:val="24"/>
        </w:rPr>
        <w:t>- pro soudní oddělení 25, 26, 29 a 18 (věci</w:t>
      </w:r>
      <w:r w:rsidR="00D23380">
        <w:rPr>
          <w:rFonts w:ascii="Garamond" w:hAnsi="Garamond"/>
          <w:sz w:val="24"/>
          <w:szCs w:val="24"/>
        </w:rPr>
        <w:t xml:space="preserve">, kde je řešitelem Mgr. Milan </w:t>
      </w:r>
      <w:proofErr w:type="spellStart"/>
      <w:r w:rsidR="00D23380">
        <w:rPr>
          <w:rFonts w:ascii="Garamond" w:hAnsi="Garamond"/>
          <w:sz w:val="24"/>
          <w:szCs w:val="24"/>
        </w:rPr>
        <w:t>Homoka</w:t>
      </w:r>
      <w:proofErr w:type="spellEnd"/>
      <w:r w:rsidR="00D23380">
        <w:rPr>
          <w:rFonts w:ascii="Garamond" w:hAnsi="Garamond"/>
          <w:sz w:val="24"/>
          <w:szCs w:val="24"/>
        </w:rPr>
        <w:t xml:space="preserve"> dle bodu </w:t>
      </w:r>
      <w:proofErr w:type="gramStart"/>
      <w:r w:rsidR="00D23380">
        <w:rPr>
          <w:rFonts w:ascii="Garamond" w:hAnsi="Garamond"/>
          <w:sz w:val="24"/>
          <w:szCs w:val="24"/>
        </w:rPr>
        <w:t>4.3.21</w:t>
      </w:r>
      <w:proofErr w:type="gramEnd"/>
      <w:r w:rsidR="00D23380">
        <w:rPr>
          <w:rFonts w:ascii="Garamond" w:hAnsi="Garamond"/>
          <w:sz w:val="24"/>
          <w:szCs w:val="24"/>
        </w:rPr>
        <w:t xml:space="preserve">) </w:t>
      </w:r>
    </w:p>
    <w:p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w:t>
      </w:r>
      <w:r w:rsidRPr="005433A4">
        <w:rPr>
          <w:rFonts w:ascii="Garamond" w:hAnsi="Garamond" w:cs="Times New Roman"/>
          <w:sz w:val="24"/>
          <w:szCs w:val="24"/>
        </w:rPr>
        <w:lastRenderedPageBreak/>
        <w:t>lhůty předloží spis soudci či VSÚ působícími v posledním rozhodujícím soudním oddělení, kteří případně dle zjištěných zpráv řízení zahájí. Hlavní vedoucí kanceláře dále řídí ostatní vedoucí kanceláře.</w:t>
      </w:r>
    </w:p>
    <w:p w:rsidR="004E422A" w:rsidRPr="005433A4" w:rsidRDefault="004E422A" w:rsidP="004E422A">
      <w:pPr>
        <w:pStyle w:val="Bezmezer"/>
        <w:jc w:val="both"/>
        <w:rPr>
          <w:rFonts w:ascii="Garamond" w:hAnsi="Garamond" w:cs="Times New Roman"/>
          <w:iCs/>
          <w:strike/>
          <w:sz w:val="24"/>
          <w:szCs w:val="24"/>
        </w:rPr>
      </w:pPr>
    </w:p>
    <w:p w:rsidR="004E422A" w:rsidRPr="005433A4" w:rsidRDefault="004E422A" w:rsidP="004E422A">
      <w:pPr>
        <w:tabs>
          <w:tab w:val="left" w:pos="851"/>
          <w:tab w:val="left" w:pos="3600"/>
          <w:tab w:val="left" w:pos="6480"/>
        </w:tabs>
        <w:rPr>
          <w:rFonts w:ascii="Garamond" w:hAnsi="Garamond"/>
          <w:i/>
          <w:sz w:val="24"/>
          <w:szCs w:val="24"/>
        </w:rPr>
      </w:pPr>
      <w:r w:rsidRPr="005433A4">
        <w:rPr>
          <w:rFonts w:ascii="Garamond" w:hAnsi="Garamond"/>
          <w:sz w:val="24"/>
          <w:szCs w:val="24"/>
        </w:rPr>
        <w:t xml:space="preserve">7.2.4 </w:t>
      </w:r>
      <w:r w:rsidRPr="005433A4">
        <w:rPr>
          <w:rFonts w:ascii="Garamond" w:hAnsi="Garamond"/>
          <w:sz w:val="24"/>
          <w:szCs w:val="24"/>
        </w:rPr>
        <w:tab/>
        <w:t>Zapisovatelé/</w:t>
      </w:r>
      <w:proofErr w:type="spellStart"/>
      <w:r w:rsidRPr="005433A4">
        <w:rPr>
          <w:rFonts w:ascii="Garamond" w:hAnsi="Garamond"/>
          <w:sz w:val="24"/>
          <w:szCs w:val="24"/>
        </w:rPr>
        <w:t>ky</w:t>
      </w:r>
      <w:proofErr w:type="spellEnd"/>
      <w:r w:rsidRPr="005433A4">
        <w:rPr>
          <w:rFonts w:ascii="Garamond" w:hAnsi="Garamond"/>
          <w:sz w:val="24"/>
          <w:szCs w:val="24"/>
        </w:rPr>
        <w:t>:</w:t>
      </w:r>
      <w:r w:rsidRPr="005433A4">
        <w:rPr>
          <w:rFonts w:ascii="Garamond" w:hAnsi="Garamond"/>
          <w:sz w:val="24"/>
          <w:szCs w:val="24"/>
        </w:rPr>
        <w:tab/>
      </w:r>
      <w:r w:rsidRPr="005433A4">
        <w:rPr>
          <w:rFonts w:ascii="Garamond" w:hAnsi="Garamond"/>
          <w:b/>
          <w:sz w:val="24"/>
          <w:szCs w:val="24"/>
        </w:rPr>
        <w:t>Vladimíra Slavíková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 dle rozhodnutí hlavní vedoucí kanceláře</w:t>
      </w:r>
    </w:p>
    <w:p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rsidR="004E422A" w:rsidRDefault="004E422A" w:rsidP="00424D78">
      <w:pPr>
        <w:tabs>
          <w:tab w:val="left" w:pos="3600"/>
        </w:tabs>
        <w:ind w:right="-646"/>
        <w:rPr>
          <w:rFonts w:ascii="Garamond" w:hAnsi="Garamond"/>
          <w:b/>
          <w:sz w:val="24"/>
          <w:szCs w:val="24"/>
        </w:rPr>
      </w:pPr>
      <w:r w:rsidRPr="005433A4">
        <w:rPr>
          <w:rFonts w:ascii="Garamond" w:hAnsi="Garamond"/>
          <w:b/>
          <w:sz w:val="24"/>
          <w:szCs w:val="24"/>
        </w:rPr>
        <w:tab/>
        <w:t>Dagmar Lanzdorfová</w:t>
      </w:r>
    </w:p>
    <w:p w:rsidR="00424D78" w:rsidRPr="00E86DC8" w:rsidRDefault="00424D78" w:rsidP="00E86DC8">
      <w:pPr>
        <w:tabs>
          <w:tab w:val="left" w:pos="3600"/>
        </w:tabs>
        <w:spacing w:after="240"/>
        <w:ind w:right="-646"/>
        <w:rPr>
          <w:rFonts w:ascii="Garamond" w:hAnsi="Garamond"/>
          <w:b/>
          <w:sz w:val="24"/>
          <w:szCs w:val="24"/>
        </w:rPr>
      </w:pPr>
      <w:r>
        <w:rPr>
          <w:rFonts w:ascii="Garamond" w:hAnsi="Garamond"/>
          <w:b/>
          <w:sz w:val="24"/>
          <w:szCs w:val="24"/>
        </w:rPr>
        <w:tab/>
        <w:t>Dana Vosyková</w:t>
      </w:r>
      <w:r>
        <w:rPr>
          <w:rFonts w:ascii="Garamond" w:hAnsi="Garamond"/>
          <w:b/>
          <w:sz w:val="24"/>
          <w:szCs w:val="24"/>
        </w:rPr>
        <w:tab/>
      </w:r>
    </w:p>
    <w:p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rsidR="00C445D2" w:rsidRPr="005433A4" w:rsidRDefault="00C445D2"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C445D2" w:rsidRPr="005433A4" w:rsidRDefault="00C445D2" w:rsidP="00C602A1">
            <w:pPr>
              <w:tabs>
                <w:tab w:val="left" w:pos="3600"/>
                <w:tab w:val="left" w:pos="6840"/>
              </w:tabs>
              <w:rPr>
                <w:rFonts w:ascii="Garamond" w:hAnsi="Garamond"/>
                <w:sz w:val="24"/>
                <w:szCs w:val="24"/>
              </w:rPr>
            </w:pPr>
          </w:p>
        </w:tc>
      </w:tr>
    </w:tbl>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rsidR="004E422A" w:rsidRPr="005433A4" w:rsidRDefault="004E422A" w:rsidP="004E422A">
      <w:pPr>
        <w:tabs>
          <w:tab w:val="left" w:pos="3600"/>
          <w:tab w:val="left" w:pos="6480"/>
        </w:tabs>
        <w:ind w:right="-32"/>
        <w:jc w:val="both"/>
        <w:rPr>
          <w:rFonts w:ascii="Garamond" w:hAnsi="Garamond"/>
          <w:sz w:val="20"/>
          <w:szCs w:val="20"/>
        </w:rPr>
      </w:pPr>
    </w:p>
    <w:p w:rsidR="004E422A" w:rsidRPr="005433A4" w:rsidRDefault="004E422A" w:rsidP="004E422A">
      <w:pPr>
        <w:rPr>
          <w:rFonts w:ascii="Garamond" w:hAnsi="Garamond"/>
          <w:bCs/>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rsidR="004E422A" w:rsidRPr="005433A4" w:rsidRDefault="004E422A" w:rsidP="004E422A">
      <w:pPr>
        <w:rPr>
          <w:rFonts w:ascii="Garamond" w:hAnsi="Garamond"/>
          <w:bCs/>
          <w:i/>
          <w:sz w:val="24"/>
          <w:szCs w:val="24"/>
        </w:rPr>
      </w:pP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rsidR="004E422A" w:rsidRPr="005433A4" w:rsidRDefault="004E422A" w:rsidP="004E422A">
      <w:pPr>
        <w:spacing w:after="120"/>
        <w:ind w:right="-34"/>
        <w:jc w:val="both"/>
        <w:rPr>
          <w:rFonts w:ascii="Garamond" w:hAnsi="Garamond"/>
          <w:iCs/>
          <w:sz w:val="24"/>
          <w:szCs w:val="24"/>
        </w:rPr>
      </w:pPr>
    </w:p>
    <w:p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č. 37/92 Sb. a podle § 492 a § 497 ZŘS. Je pověřen vyřizováním dožádání na úseku vymáhání pohledávek.</w:t>
      </w:r>
    </w:p>
    <w:p w:rsidR="004E422A" w:rsidRPr="005433A4" w:rsidRDefault="004E422A" w:rsidP="004E422A">
      <w:pPr>
        <w:rPr>
          <w:rFonts w:ascii="Garamond" w:hAnsi="Garamond"/>
          <w:bCs/>
          <w:sz w:val="24"/>
          <w:szCs w:val="24"/>
        </w:rPr>
      </w:pPr>
    </w:p>
    <w:p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 čísel. Neskončené exekuční věci napadlé do 31. 12. 2015 a vedené v senátu 23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Lhotskou – věci vymáhání výživného,</w:t>
      </w:r>
    </w:p>
    <w:p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VSÚ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rsidR="004E422A" w:rsidRPr="005433A4" w:rsidRDefault="004E422A" w:rsidP="004E422A">
      <w:pPr>
        <w:jc w:val="both"/>
        <w:rPr>
          <w:rFonts w:ascii="Garamond" w:hAnsi="Garamond"/>
          <w:b/>
          <w:sz w:val="24"/>
          <w:szCs w:val="24"/>
        </w:rPr>
      </w:pPr>
    </w:p>
    <w:p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rsidTr="00C602A1">
        <w:tc>
          <w:tcPr>
            <w:tcW w:w="111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7"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rsidR="004E422A" w:rsidRPr="005433A4" w:rsidRDefault="004E422A" w:rsidP="004E422A">
      <w:pPr>
        <w:rPr>
          <w:rFonts w:ascii="Garamond" w:hAnsi="Garamond"/>
        </w:rPr>
      </w:pPr>
    </w:p>
    <w:p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dočasně neobsazeno </w:t>
      </w:r>
      <w:r w:rsidRPr="005433A4">
        <w:rPr>
          <w:rFonts w:ascii="Garamond" w:hAnsi="Garamond"/>
          <w:b/>
          <w:sz w:val="24"/>
          <w:szCs w:val="24"/>
        </w:rPr>
        <w:tab/>
        <w:t xml:space="preserve">  </w:t>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905F60">
        <w:rPr>
          <w:rFonts w:ascii="Garamond" w:hAnsi="Garamond"/>
          <w:i/>
          <w:sz w:val="24"/>
          <w:szCs w:val="24"/>
        </w:rPr>
        <w:t xml:space="preserve">Miroslava Kožená </w:t>
      </w:r>
    </w:p>
    <w:p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rsidR="004E422A" w:rsidRPr="005433A4" w:rsidRDefault="004E422A" w:rsidP="004E422A">
      <w:pPr>
        <w:ind w:left="-27" w:right="-108" w:firstLine="27"/>
        <w:jc w:val="both"/>
        <w:rPr>
          <w:rFonts w:ascii="Garamond" w:hAnsi="Garamond"/>
          <w:sz w:val="20"/>
          <w:szCs w:val="20"/>
        </w:rPr>
      </w:pPr>
    </w:p>
    <w:p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„U“, „Cd“ a další tzv. evidenční pomůcky, vede knihu úschov a protestů, provádí úkony podle § 8 VKŘ. Je osobou oprávněnou přístupem do kovové skříně soudu.</w:t>
      </w:r>
    </w:p>
    <w:p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i/>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gramStart"/>
            <w:r w:rsidRPr="005433A4">
              <w:rPr>
                <w:rFonts w:ascii="Garamond" w:hAnsi="Garamond"/>
                <w:b/>
                <w:sz w:val="24"/>
                <w:szCs w:val="24"/>
              </w:rPr>
              <w:t>Si</w:t>
            </w:r>
            <w:proofErr w:type="gramEnd"/>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w:t>
            </w:r>
            <w:proofErr w:type="gramStart"/>
            <w:r w:rsidRPr="005433A4">
              <w:rPr>
                <w:rFonts w:ascii="Garamond" w:hAnsi="Garamond"/>
                <w:bCs/>
                <w:sz w:val="24"/>
                <w:szCs w:val="24"/>
              </w:rPr>
              <w:t>viz</w:t>
            </w:r>
            <w:proofErr w:type="gramEnd"/>
            <w:r w:rsidRPr="005433A4">
              <w:rPr>
                <w:rFonts w:ascii="Garamond" w:hAnsi="Garamond"/>
                <w:bCs/>
                <w:sz w:val="24"/>
                <w:szCs w:val="24"/>
              </w:rPr>
              <w:t xml:space="preserve"> kapitola 10.2.</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Petra Neužilová </w:t>
            </w:r>
          </w:p>
        </w:tc>
      </w:tr>
    </w:tbl>
    <w:p w:rsidR="004E422A" w:rsidRPr="005433A4" w:rsidRDefault="004E422A" w:rsidP="004E422A">
      <w:pPr>
        <w:rPr>
          <w:rFonts w:ascii="Garamond" w:hAnsi="Garamond"/>
          <w:b/>
          <w:sz w:val="28"/>
          <w:szCs w:val="28"/>
        </w:rPr>
      </w:pPr>
    </w:p>
    <w:p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rsidR="004E422A" w:rsidRPr="005433A4" w:rsidRDefault="004E422A" w:rsidP="004E422A">
      <w:pPr>
        <w:pStyle w:val="Odstavecseseznamem"/>
        <w:jc w:val="both"/>
        <w:rPr>
          <w:rFonts w:ascii="Garamond" w:hAnsi="Garamond"/>
          <w:sz w:val="24"/>
          <w:szCs w:val="24"/>
        </w:rPr>
      </w:pPr>
    </w:p>
    <w:p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t xml:space="preserve">JUDr. Stanislav Brabec, </w:t>
      </w:r>
      <w:proofErr w:type="gramStart"/>
      <w:r w:rsidRPr="005433A4">
        <w:rPr>
          <w:rFonts w:ascii="Garamond" w:hAnsi="Garamond"/>
          <w:sz w:val="24"/>
          <w:szCs w:val="24"/>
        </w:rPr>
        <w:t>LL.M.</w:t>
      </w:r>
      <w:proofErr w:type="gramEnd"/>
      <w:r w:rsidRPr="005433A4">
        <w:rPr>
          <w:rFonts w:ascii="Garamond" w:hAnsi="Garamond"/>
          <w:sz w:val="24"/>
          <w:szCs w:val="24"/>
        </w:rPr>
        <w:t>, Mgr. Zuzana Lasotová Brabcová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rsidR="004E422A" w:rsidRPr="005433A4" w:rsidRDefault="004E422A" w:rsidP="004E422A">
      <w:pPr>
        <w:rPr>
          <w:rFonts w:ascii="Garamond" w:hAnsi="Garamond"/>
          <w:sz w:val="24"/>
          <w:szCs w:val="24"/>
        </w:rPr>
      </w:pPr>
      <w:r w:rsidRPr="005433A4">
        <w:rPr>
          <w:rFonts w:ascii="Garamond" w:hAnsi="Garamond"/>
          <w:sz w:val="24"/>
          <w:szCs w:val="24"/>
        </w:rPr>
        <w:t>Mgr. Robert Plášil</w:t>
      </w:r>
    </w:p>
    <w:p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rsidR="004E422A" w:rsidRPr="005433A4" w:rsidRDefault="004E422A" w:rsidP="004E422A">
      <w:pPr>
        <w:rPr>
          <w:rFonts w:ascii="Garamond" w:hAnsi="Garamond"/>
          <w:b/>
          <w:sz w:val="24"/>
          <w:szCs w:val="24"/>
        </w:rPr>
      </w:pPr>
    </w:p>
    <w:p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Přístupy do interních i externích evidencí (ISAS, IRES, CEO, ISZR, CESO, CEVO, KN,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Pr="005433A4">
        <w:rPr>
          <w:rFonts w:ascii="Garamond" w:hAnsi="Garamond"/>
          <w:sz w:val="24"/>
          <w:szCs w:val="24"/>
        </w:rPr>
        <w:t xml:space="preserve">  55/2018 a </w:t>
      </w:r>
      <w:proofErr w:type="spellStart"/>
      <w:r w:rsidRPr="005433A4">
        <w:rPr>
          <w:rFonts w:ascii="Garamond" w:hAnsi="Garamond"/>
          <w:sz w:val="24"/>
          <w:szCs w:val="24"/>
        </w:rPr>
        <w:t>Spr</w:t>
      </w:r>
      <w:proofErr w:type="spellEnd"/>
      <w:r w:rsidRPr="005433A4">
        <w:rPr>
          <w:rFonts w:ascii="Garamond" w:hAnsi="Garamond"/>
          <w:sz w:val="24"/>
          <w:szCs w:val="24"/>
        </w:rPr>
        <w:t xml:space="preserve"> 901/2019.</w:t>
      </w:r>
    </w:p>
    <w:p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EXE,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Řešeno</w:t>
            </w:r>
            <w:proofErr w:type="gramEnd"/>
            <w:r w:rsidRPr="005433A4">
              <w:rPr>
                <w:rFonts w:ascii="Garamond" w:hAnsi="Garamond"/>
                <w:b/>
                <w:sz w:val="20"/>
                <w:szCs w:val="20"/>
              </w:rPr>
              <w:t xml:space="preserve"> v soud. </w:t>
            </w:r>
            <w:proofErr w:type="gramStart"/>
            <w:r w:rsidRPr="005433A4">
              <w:rPr>
                <w:rFonts w:ascii="Garamond" w:hAnsi="Garamond"/>
                <w:b/>
                <w:sz w:val="20"/>
                <w:szCs w:val="20"/>
              </w:rPr>
              <w:t>odd.</w:t>
            </w:r>
            <w:proofErr w:type="gramEnd"/>
          </w:p>
        </w:tc>
        <w:tc>
          <w:tcPr>
            <w:tcW w:w="4961"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34 001 – 35 000</w:t>
            </w:r>
          </w:p>
          <w:p w:rsidR="004E422A" w:rsidRPr="005433A4" w:rsidRDefault="004E422A" w:rsidP="00C602A1">
            <w:pPr>
              <w:rPr>
                <w:rFonts w:ascii="Garamond" w:hAnsi="Garamond"/>
                <w:b/>
                <w:sz w:val="20"/>
                <w:szCs w:val="20"/>
              </w:rPr>
            </w:pP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w:t>
            </w:r>
            <w:proofErr w:type="spellStart"/>
            <w:r w:rsidRPr="005433A4">
              <w:rPr>
                <w:rFonts w:ascii="Garamond" w:hAnsi="Garamond"/>
                <w:sz w:val="20"/>
                <w:szCs w:val="20"/>
              </w:rPr>
              <w:t>svěřenského</w:t>
            </w:r>
            <w:proofErr w:type="spellEnd"/>
            <w:r w:rsidRPr="005433A4">
              <w:rPr>
                <w:rFonts w:ascii="Garamond" w:hAnsi="Garamond"/>
                <w:sz w:val="20"/>
                <w:szCs w:val="20"/>
              </w:rPr>
              <w:t xml:space="preserve"> fondu</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rsidR="004E422A" w:rsidRPr="005433A4" w:rsidRDefault="004E422A" w:rsidP="00C602A1">
            <w:pPr>
              <w:rPr>
                <w:rFonts w:ascii="Garamond" w:hAnsi="Garamond"/>
                <w:sz w:val="20"/>
                <w:szCs w:val="20"/>
              </w:rPr>
            </w:pPr>
            <w:r w:rsidRPr="005433A4">
              <w:rPr>
                <w:rFonts w:ascii="Garamond" w:hAnsi="Garamond"/>
                <w:sz w:val="20"/>
                <w:szCs w:val="20"/>
              </w:rPr>
              <w:t>§ 880 – 886 OZ</w:t>
            </w:r>
          </w:p>
          <w:p w:rsidR="004E422A" w:rsidRPr="005433A4" w:rsidRDefault="004E422A" w:rsidP="00C602A1">
            <w:pPr>
              <w:rPr>
                <w:rFonts w:ascii="Garamond" w:hAnsi="Garamond"/>
                <w:sz w:val="20"/>
                <w:szCs w:val="20"/>
              </w:rPr>
            </w:pPr>
            <w:r w:rsidRPr="005433A4">
              <w:rPr>
                <w:rFonts w:ascii="Garamond" w:hAnsi="Garamond"/>
                <w:sz w:val="20"/>
                <w:szCs w:val="20"/>
              </w:rPr>
              <w:t>péče o dítě</w:t>
            </w:r>
          </w:p>
          <w:p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rsidR="004E422A" w:rsidRPr="005433A4" w:rsidRDefault="004E422A" w:rsidP="00C602A1">
            <w:pPr>
              <w:rPr>
                <w:rFonts w:ascii="Garamond" w:hAnsi="Garamond"/>
                <w:sz w:val="20"/>
                <w:szCs w:val="20"/>
              </w:rPr>
            </w:pPr>
            <w:r w:rsidRPr="005433A4">
              <w:rPr>
                <w:rFonts w:ascii="Garamond" w:hAnsi="Garamond"/>
                <w:sz w:val="20"/>
                <w:szCs w:val="20"/>
              </w:rPr>
              <w:t>ústavní výchova</w:t>
            </w:r>
          </w:p>
          <w:p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rsidR="004E422A" w:rsidRPr="005433A4" w:rsidRDefault="000509D8" w:rsidP="00C602A1">
            <w:pPr>
              <w:rPr>
                <w:rFonts w:ascii="Garamond" w:hAnsi="Garamond"/>
                <w:b/>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PRACOVNÍ </w:t>
            </w:r>
            <w:bookmarkStart w:id="25" w:name="_GoBack"/>
            <w:bookmarkEnd w:id="25"/>
            <w:r w:rsidRPr="005433A4">
              <w:rPr>
                <w:rFonts w:ascii="Garamond" w:hAnsi="Garamond"/>
                <w:sz w:val="20"/>
                <w:szCs w:val="20"/>
              </w:rPr>
              <w:t>ZÁLEŽITOSTI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p>
          <w:p w:rsidR="004E422A" w:rsidRPr="005433A4" w:rsidRDefault="004E422A" w:rsidP="00C602A1">
            <w:pPr>
              <w:rPr>
                <w:rFonts w:ascii="Garamond" w:hAnsi="Garamond"/>
                <w:b/>
                <w:sz w:val="20"/>
                <w:szCs w:val="20"/>
              </w:rPr>
            </w:pPr>
          </w:p>
          <w:p w:rsidR="004E422A" w:rsidRPr="005433A4" w:rsidRDefault="004E422A" w:rsidP="00C602A1">
            <w:pPr>
              <w:rPr>
                <w:rFonts w:ascii="Garamond" w:hAnsi="Garamond"/>
                <w:b/>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158a </w:t>
            </w:r>
            <w:proofErr w:type="spellStart"/>
            <w:r w:rsidRPr="005433A4">
              <w:rPr>
                <w:rFonts w:ascii="Garamond" w:hAnsi="Garamond"/>
                <w:sz w:val="20"/>
                <w:szCs w:val="20"/>
              </w:rPr>
              <w:t>tr</w:t>
            </w:r>
            <w:proofErr w:type="spellEnd"/>
            <w:r w:rsidRPr="005433A4">
              <w:rPr>
                <w:rFonts w:ascii="Garamond" w:hAnsi="Garamond"/>
                <w:sz w:val="20"/>
                <w:szCs w:val="20"/>
              </w:rPr>
              <w:t xml:space="preserve">. </w:t>
            </w:r>
            <w:proofErr w:type="gramStart"/>
            <w:r w:rsidRPr="005433A4">
              <w:rPr>
                <w:rFonts w:ascii="Garamond" w:hAnsi="Garamond"/>
                <w:sz w:val="20"/>
                <w:szCs w:val="20"/>
              </w:rPr>
              <w:t>ř.</w:t>
            </w:r>
            <w:proofErr w:type="gramEnd"/>
            <w:r w:rsidRPr="005433A4">
              <w:rPr>
                <w:rFonts w:ascii="Garamond" w:hAnsi="Garamond"/>
                <w:sz w:val="20"/>
                <w:szCs w:val="20"/>
              </w:rPr>
              <w:t>)</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w:t>
            </w:r>
          </w:p>
          <w:p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rsidR="004E422A" w:rsidRPr="005433A4" w:rsidRDefault="004E422A" w:rsidP="004E422A">
      <w:pPr>
        <w:rPr>
          <w:rFonts w:ascii="Garamond" w:hAnsi="Garamond"/>
          <w:b/>
          <w:sz w:val="24"/>
          <w:szCs w:val="24"/>
        </w:rPr>
      </w:pPr>
    </w:p>
    <w:p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rsidR="004E422A" w:rsidRPr="005433A4" w:rsidRDefault="004E422A" w:rsidP="004E422A">
      <w:pPr>
        <w:rPr>
          <w:rStyle w:val="Hypertextovodkaz"/>
          <w:rFonts w:ascii="Garamond" w:hAnsi="Garamond"/>
          <w:b/>
          <w:sz w:val="28"/>
          <w:szCs w:val="28"/>
        </w:rPr>
      </w:pP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6D5" w:rsidRDefault="00AF66D5">
      <w:r>
        <w:separator/>
      </w:r>
    </w:p>
  </w:endnote>
  <w:endnote w:type="continuationSeparator" w:id="0">
    <w:p w:rsidR="00AF66D5" w:rsidRDefault="00AF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5" w:rsidRDefault="00AF66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5" w:rsidRPr="00DE49B0" w:rsidRDefault="00AF66D5"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CB5298">
      <w:rPr>
        <w:rFonts w:ascii="Garamond" w:hAnsi="Garamond"/>
        <w:b/>
        <w:noProof/>
        <w:sz w:val="20"/>
        <w:szCs w:val="20"/>
      </w:rPr>
      <w:t>50</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CB5298">
      <w:rPr>
        <w:rFonts w:ascii="Garamond" w:hAnsi="Garamond"/>
        <w:noProof/>
        <w:sz w:val="20"/>
        <w:szCs w:val="20"/>
      </w:rPr>
      <w:t>56</w:t>
    </w:r>
    <w:r w:rsidRPr="00DE49B0">
      <w:rPr>
        <w:rFonts w:ascii="Garamond" w:hAnsi="Garamond"/>
        <w:sz w:val="20"/>
        <w:szCs w:val="20"/>
      </w:rPr>
      <w:fldChar w:fldCharType="end"/>
    </w:r>
  </w:p>
  <w:p w:rsidR="00AF66D5" w:rsidRPr="00DE49B0" w:rsidRDefault="00AF66D5" w:rsidP="00C602A1">
    <w:pPr>
      <w:rPr>
        <w:rFonts w:ascii="Garamond" w:hAnsi="Garamond"/>
        <w:i/>
        <w:sz w:val="20"/>
        <w:szCs w:val="20"/>
      </w:rPr>
    </w:pPr>
  </w:p>
  <w:p w:rsidR="00AF66D5" w:rsidRPr="009B3DD0" w:rsidRDefault="00AF66D5"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5" w:rsidRDefault="00AF66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6D5" w:rsidRDefault="00AF66D5">
      <w:r>
        <w:separator/>
      </w:r>
    </w:p>
  </w:footnote>
  <w:footnote w:type="continuationSeparator" w:id="0">
    <w:p w:rsidR="00AF66D5" w:rsidRDefault="00AF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5" w:rsidRDefault="00AF66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5" w:rsidRPr="00527D36" w:rsidRDefault="00AF66D5"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Pr>
        <w:rFonts w:ascii="Garamond" w:hAnsi="Garamond"/>
        <w:b/>
        <w:sz w:val="24"/>
        <w:szCs w:val="24"/>
      </w:rPr>
      <w:t>3</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proofErr w:type="spellStart"/>
    <w:r w:rsidRPr="00527D36">
      <w:rPr>
        <w:rFonts w:ascii="Garamond" w:hAnsi="Garamond"/>
        <w:sz w:val="20"/>
        <w:szCs w:val="20"/>
      </w:rPr>
      <w:t>Spr</w:t>
    </w:r>
    <w:proofErr w:type="spellEnd"/>
    <w:r w:rsidRPr="00527D36">
      <w:rPr>
        <w:rFonts w:ascii="Garamond" w:hAnsi="Garamond"/>
        <w:sz w:val="20"/>
        <w:szCs w:val="20"/>
      </w:rPr>
      <w:t xml:space="preserve">  </w:t>
    </w:r>
    <w:r>
      <w:rPr>
        <w:rFonts w:ascii="Garamond" w:hAnsi="Garamond"/>
        <w:sz w:val="20"/>
        <w:szCs w:val="20"/>
      </w:rPr>
      <w:t>1358</w:t>
    </w:r>
    <w:r w:rsidRPr="00527D36">
      <w:rPr>
        <w:rFonts w:ascii="Garamond" w:hAnsi="Garamond"/>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5" w:rsidRDefault="00AF66D5"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AF66D5" w:rsidRPr="009B3DD0" w:rsidRDefault="00AF66D5"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31"/>
  </w:num>
  <w:num w:numId="5">
    <w:abstractNumId w:val="15"/>
  </w:num>
  <w:num w:numId="6">
    <w:abstractNumId w:val="15"/>
  </w:num>
  <w:num w:numId="7">
    <w:abstractNumId w:val="14"/>
  </w:num>
  <w:num w:numId="8">
    <w:abstractNumId w:val="24"/>
  </w:num>
  <w:num w:numId="9">
    <w:abstractNumId w:val="0"/>
  </w:num>
  <w:num w:numId="10">
    <w:abstractNumId w:val="8"/>
  </w:num>
  <w:num w:numId="11">
    <w:abstractNumId w:val="3"/>
  </w:num>
  <w:num w:numId="12">
    <w:abstractNumId w:val="5"/>
  </w:num>
  <w:num w:numId="13">
    <w:abstractNumId w:val="27"/>
  </w:num>
  <w:num w:numId="14">
    <w:abstractNumId w:val="4"/>
  </w:num>
  <w:num w:numId="15">
    <w:abstractNumId w:val="7"/>
  </w:num>
  <w:num w:numId="16">
    <w:abstractNumId w:val="18"/>
  </w:num>
  <w:num w:numId="17">
    <w:abstractNumId w:val="2"/>
  </w:num>
  <w:num w:numId="18">
    <w:abstractNumId w:val="20"/>
  </w:num>
  <w:num w:numId="19">
    <w:abstractNumId w:val="19"/>
  </w:num>
  <w:num w:numId="20">
    <w:abstractNumId w:val="25"/>
  </w:num>
  <w:num w:numId="21">
    <w:abstractNumId w:val="26"/>
  </w:num>
  <w:num w:numId="22">
    <w:abstractNumId w:val="1"/>
  </w:num>
  <w:num w:numId="23">
    <w:abstractNumId w:val="13"/>
  </w:num>
  <w:num w:numId="24">
    <w:abstractNumId w:val="10"/>
  </w:num>
  <w:num w:numId="25">
    <w:abstractNumId w:val="22"/>
  </w:num>
  <w:num w:numId="26">
    <w:abstractNumId w:val="23"/>
  </w:num>
  <w:num w:numId="27">
    <w:abstractNumId w:val="28"/>
  </w:num>
  <w:num w:numId="28">
    <w:abstractNumId w:val="6"/>
  </w:num>
  <w:num w:numId="29">
    <w:abstractNumId w:val="16"/>
  </w:num>
  <w:num w:numId="30">
    <w:abstractNumId w:val="9"/>
  </w:num>
  <w:num w:numId="31">
    <w:abstractNumId w:val="30"/>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2A"/>
    <w:rsid w:val="00004DEB"/>
    <w:rsid w:val="00013F47"/>
    <w:rsid w:val="00017B8A"/>
    <w:rsid w:val="00031C6C"/>
    <w:rsid w:val="00036358"/>
    <w:rsid w:val="0004324E"/>
    <w:rsid w:val="00045410"/>
    <w:rsid w:val="00047CCD"/>
    <w:rsid w:val="000509D8"/>
    <w:rsid w:val="000648E8"/>
    <w:rsid w:val="00066C44"/>
    <w:rsid w:val="000973E2"/>
    <w:rsid w:val="000A5307"/>
    <w:rsid w:val="000B0183"/>
    <w:rsid w:val="000C4572"/>
    <w:rsid w:val="000C6D8D"/>
    <w:rsid w:val="000C7110"/>
    <w:rsid w:val="000E45FA"/>
    <w:rsid w:val="000F610A"/>
    <w:rsid w:val="00111BAC"/>
    <w:rsid w:val="00152767"/>
    <w:rsid w:val="001554FD"/>
    <w:rsid w:val="00174E76"/>
    <w:rsid w:val="00176111"/>
    <w:rsid w:val="001962F1"/>
    <w:rsid w:val="001A6B6F"/>
    <w:rsid w:val="001C26DB"/>
    <w:rsid w:val="001C2AD6"/>
    <w:rsid w:val="001D3048"/>
    <w:rsid w:val="001E5AE8"/>
    <w:rsid w:val="002136CB"/>
    <w:rsid w:val="00260874"/>
    <w:rsid w:val="002B4E14"/>
    <w:rsid w:val="002B6184"/>
    <w:rsid w:val="002B6D90"/>
    <w:rsid w:val="002C4C5E"/>
    <w:rsid w:val="002D7298"/>
    <w:rsid w:val="002E7D5F"/>
    <w:rsid w:val="00301F00"/>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85995"/>
    <w:rsid w:val="004A23FC"/>
    <w:rsid w:val="004B201D"/>
    <w:rsid w:val="004B7344"/>
    <w:rsid w:val="004B7951"/>
    <w:rsid w:val="004C0414"/>
    <w:rsid w:val="004C43E8"/>
    <w:rsid w:val="004E422A"/>
    <w:rsid w:val="00505E9C"/>
    <w:rsid w:val="00527D36"/>
    <w:rsid w:val="00542B3F"/>
    <w:rsid w:val="005433A4"/>
    <w:rsid w:val="00557F49"/>
    <w:rsid w:val="00563146"/>
    <w:rsid w:val="00565B1E"/>
    <w:rsid w:val="005756E1"/>
    <w:rsid w:val="00612B7C"/>
    <w:rsid w:val="00621823"/>
    <w:rsid w:val="00623D61"/>
    <w:rsid w:val="00626CA9"/>
    <w:rsid w:val="00627230"/>
    <w:rsid w:val="0063399F"/>
    <w:rsid w:val="0064202C"/>
    <w:rsid w:val="00670B4D"/>
    <w:rsid w:val="006C3719"/>
    <w:rsid w:val="006E1264"/>
    <w:rsid w:val="007019EE"/>
    <w:rsid w:val="00715B04"/>
    <w:rsid w:val="007273BB"/>
    <w:rsid w:val="0075222B"/>
    <w:rsid w:val="0075506A"/>
    <w:rsid w:val="007661E7"/>
    <w:rsid w:val="00783E36"/>
    <w:rsid w:val="007A12E5"/>
    <w:rsid w:val="007B1EC0"/>
    <w:rsid w:val="007C4984"/>
    <w:rsid w:val="007C64B5"/>
    <w:rsid w:val="007D3B73"/>
    <w:rsid w:val="007D4C23"/>
    <w:rsid w:val="00820248"/>
    <w:rsid w:val="0088015F"/>
    <w:rsid w:val="0088310E"/>
    <w:rsid w:val="008921CA"/>
    <w:rsid w:val="00905F60"/>
    <w:rsid w:val="009102A2"/>
    <w:rsid w:val="00923370"/>
    <w:rsid w:val="00941459"/>
    <w:rsid w:val="00945522"/>
    <w:rsid w:val="009671A2"/>
    <w:rsid w:val="00980A6F"/>
    <w:rsid w:val="009A4255"/>
    <w:rsid w:val="009B43DB"/>
    <w:rsid w:val="009C06F2"/>
    <w:rsid w:val="009C4107"/>
    <w:rsid w:val="009D1F13"/>
    <w:rsid w:val="009D28BB"/>
    <w:rsid w:val="009E4B12"/>
    <w:rsid w:val="009E698C"/>
    <w:rsid w:val="009F10ED"/>
    <w:rsid w:val="00A02858"/>
    <w:rsid w:val="00A13325"/>
    <w:rsid w:val="00A15CD6"/>
    <w:rsid w:val="00A32D4E"/>
    <w:rsid w:val="00A626F8"/>
    <w:rsid w:val="00A73690"/>
    <w:rsid w:val="00A76DCB"/>
    <w:rsid w:val="00A842B7"/>
    <w:rsid w:val="00AE07B3"/>
    <w:rsid w:val="00AE4E26"/>
    <w:rsid w:val="00AF66D5"/>
    <w:rsid w:val="00B01994"/>
    <w:rsid w:val="00B110D8"/>
    <w:rsid w:val="00B663FE"/>
    <w:rsid w:val="00B8348B"/>
    <w:rsid w:val="00B92CFD"/>
    <w:rsid w:val="00B97980"/>
    <w:rsid w:val="00BA171F"/>
    <w:rsid w:val="00BB191C"/>
    <w:rsid w:val="00BD47FE"/>
    <w:rsid w:val="00BF5549"/>
    <w:rsid w:val="00C124D2"/>
    <w:rsid w:val="00C43F80"/>
    <w:rsid w:val="00C445D2"/>
    <w:rsid w:val="00C51452"/>
    <w:rsid w:val="00C602A1"/>
    <w:rsid w:val="00C74E4C"/>
    <w:rsid w:val="00C83B05"/>
    <w:rsid w:val="00C92BFF"/>
    <w:rsid w:val="00CA025D"/>
    <w:rsid w:val="00CB5298"/>
    <w:rsid w:val="00CD04D1"/>
    <w:rsid w:val="00CD69C8"/>
    <w:rsid w:val="00CD72F8"/>
    <w:rsid w:val="00CF3313"/>
    <w:rsid w:val="00CF6BA7"/>
    <w:rsid w:val="00D008FA"/>
    <w:rsid w:val="00D14F68"/>
    <w:rsid w:val="00D23380"/>
    <w:rsid w:val="00D24EC8"/>
    <w:rsid w:val="00D306EA"/>
    <w:rsid w:val="00D413D9"/>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5D8F"/>
    <w:rsid w:val="00F00867"/>
    <w:rsid w:val="00F133CC"/>
    <w:rsid w:val="00F24B68"/>
    <w:rsid w:val="00F425DB"/>
    <w:rsid w:val="00F47B6E"/>
    <w:rsid w:val="00F74F92"/>
    <w:rsid w:val="00F92982"/>
    <w:rsid w:val="00F93B9E"/>
    <w:rsid w:val="00F97AA6"/>
    <w:rsid w:val="00FA3F92"/>
    <w:rsid w:val="00FB03C1"/>
    <w:rsid w:val="00FD403A"/>
    <w:rsid w:val="00FE21C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3AE0B7"/>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0BDA-7577-48A9-8B4D-663EC346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56</Pages>
  <Words>15546</Words>
  <Characters>91722</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22</cp:revision>
  <cp:lastPrinted>2024-02-23T08:31:00Z</cp:lastPrinted>
  <dcterms:created xsi:type="dcterms:W3CDTF">2024-01-29T13:32:00Z</dcterms:created>
  <dcterms:modified xsi:type="dcterms:W3CDTF">2024-02-23T08:43:00Z</dcterms:modified>
</cp:coreProperties>
</file>