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EEBF" w14:textId="33F0CF15" w:rsidR="0036540E" w:rsidRPr="0036540E" w:rsidRDefault="0036540E" w:rsidP="0036540E">
      <w:pPr>
        <w:shd w:val="clear" w:color="auto" w:fill="EAF1DD" w:themeFill="accent3" w:themeFillTint="33"/>
        <w:spacing w:before="100" w:beforeAutospacing="1" w:after="100" w:afterAutospacing="1"/>
        <w:jc w:val="center"/>
        <w:outlineLvl w:val="0"/>
        <w:rPr>
          <w:rFonts w:eastAsia="Times New Roman"/>
          <w:b/>
          <w:bCs/>
          <w:spacing w:val="3"/>
          <w:kern w:val="36"/>
          <w:sz w:val="48"/>
          <w:szCs w:val="48"/>
          <w:lang w:eastAsia="cs-CZ"/>
        </w:rPr>
      </w:pPr>
      <w:r w:rsidRPr="0036540E">
        <w:rPr>
          <w:rFonts w:eastAsia="Times New Roman"/>
          <w:b/>
          <w:bCs/>
          <w:spacing w:val="3"/>
          <w:kern w:val="36"/>
          <w:sz w:val="48"/>
          <w:szCs w:val="48"/>
          <w:lang w:eastAsia="cs-CZ"/>
        </w:rPr>
        <w:t>Rozvody a péče o děti v roce 2026.</w:t>
      </w:r>
    </w:p>
    <w:p w14:paraId="7415309B" w14:textId="0DD41F50" w:rsidR="0036540E" w:rsidRPr="0036540E" w:rsidRDefault="0036540E" w:rsidP="0036540E">
      <w:pPr>
        <w:shd w:val="clear" w:color="auto" w:fill="EAF1DD" w:themeFill="accent3" w:themeFillTint="33"/>
        <w:spacing w:before="100" w:beforeAutospacing="1" w:after="100" w:afterAutospacing="1"/>
        <w:jc w:val="center"/>
        <w:outlineLvl w:val="0"/>
        <w:rPr>
          <w:rFonts w:eastAsia="Times New Roman"/>
          <w:b/>
          <w:bCs/>
          <w:spacing w:val="3"/>
          <w:kern w:val="36"/>
          <w:sz w:val="48"/>
          <w:szCs w:val="48"/>
          <w:lang w:eastAsia="cs-CZ"/>
        </w:rPr>
      </w:pPr>
      <w:r w:rsidRPr="0036540E">
        <w:rPr>
          <w:rFonts w:eastAsia="Times New Roman"/>
          <w:b/>
          <w:bCs/>
          <w:spacing w:val="3"/>
          <w:kern w:val="36"/>
          <w:sz w:val="48"/>
          <w:szCs w:val="48"/>
          <w:lang w:eastAsia="cs-CZ"/>
        </w:rPr>
        <w:t>Co se mění?</w:t>
      </w:r>
    </w:p>
    <w:p w14:paraId="6BF6989A" w14:textId="50E4C051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Ministerstvo spravedlnosti připravilo tzv. rozvodovou novelu, která nabývá účinnosti k 1.</w:t>
      </w:r>
      <w:r>
        <w:rPr>
          <w:rFonts w:eastAsia="Times New Roman"/>
          <w:b/>
          <w:bCs/>
          <w:spacing w:val="3"/>
          <w:sz w:val="23"/>
          <w:szCs w:val="23"/>
          <w:lang w:eastAsia="cs-CZ"/>
        </w:rPr>
        <w:t>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lednu 2026. Co se mění? Jak budou nově probíhat rozvody párů s dětmi a bez dětí? Mění se výše poplatků za rozvody? Jakou roli v celém procesu hraje „nejlepší zájem dítěte“ a jak je to s fyzickým trestáním dětí? Podívejte se na změny popsané přímo na modelových situacích, které pomohou novinky přiblížit a vysvětlit.</w:t>
      </w:r>
    </w:p>
    <w:p w14:paraId="096348F0" w14:textId="77777777" w:rsidR="0036540E" w:rsidRPr="0036540E" w:rsidRDefault="0036540E" w:rsidP="0036540E">
      <w:pPr>
        <w:shd w:val="clear" w:color="auto" w:fill="EAF1DD" w:themeFill="accent3" w:themeFillTint="33"/>
        <w:outlineLvl w:val="2"/>
        <w:rPr>
          <w:rFonts w:eastAsia="Times New Roman"/>
          <w:spacing w:val="3"/>
          <w:sz w:val="27"/>
          <w:szCs w:val="27"/>
          <w:lang w:eastAsia="cs-CZ"/>
        </w:rPr>
      </w:pPr>
      <w:r w:rsidRPr="0036540E">
        <w:rPr>
          <w:rFonts w:eastAsia="Times New Roman"/>
          <w:b/>
          <w:bCs/>
          <w:spacing w:val="3"/>
          <w:sz w:val="27"/>
          <w:szCs w:val="27"/>
          <w:lang w:eastAsia="cs-CZ"/>
        </w:rPr>
        <w:t>Chceme se rozvést a máme nezletilé dítě</w:t>
      </w:r>
    </w:p>
    <w:p w14:paraId="40F1E7A5" w14:textId="0F7865EF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>Soud bude rozhodovat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 o poměrech dítěte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 (tj. o péči a vyživovací povinnosti vůči nezletilému dítěti)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a o rozvodu manželství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v jediném spojeném řízení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. Toto spojené řízení se bude konat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u</w:t>
      </w:r>
      <w:r>
        <w:rPr>
          <w:rFonts w:eastAsia="Times New Roman"/>
          <w:b/>
          <w:bCs/>
          <w:spacing w:val="3"/>
          <w:sz w:val="23"/>
          <w:szCs w:val="23"/>
          <w:lang w:eastAsia="cs-CZ"/>
        </w:rPr>
        <w:t>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okresního soudu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 (v Praze u obvodního soudu), v jehož obvodu má nezletilé dítě své bydliště. Pokud by spojené řízení nebylo vhodné třeba kvůli konfliktu mezi rodiči, soud může věci rozdělit do samostatných řízení.</w:t>
      </w:r>
    </w:p>
    <w:p w14:paraId="1B507139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>V návrhu je třeba uvést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kontaktní telefonní číslo nebo e-mailovou adresu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 účastníků řízení, jsou-li navrhovateli známy.</w:t>
      </w:r>
    </w:p>
    <w:p w14:paraId="781447BC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>Nejprve bude soud rozhodovat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 o poměrech dítěte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. V případě dohodnutých rodičů už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dítě nebude zastupovat kolizní opatrovník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 (OSPOD),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nýbrž sami rodiče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. Pokud se ale ukáže, že by mezi rodiči a dítětem mohlo dojít ke střetu zájmů, tak soud kolizního opatrovníka ustanoví. Stejně tak soud kolizního opatrovníka ustanoví, požádá-li o to samo dítě.</w:t>
      </w:r>
    </w:p>
    <w:p w14:paraId="3D10E1B2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>Pokud jde o dítě schopné pochopit situaci,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rodiče jsou povinni dítě informovat o soudním řízení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, o možnosti vyjádřit svůj názor a důsledcích soudního rozhodnutí, jakož i o možnosti požádat o ustanovení kolizního opatrovníka (soud by na tuto povinnost měl rodiče upozornit v předvolání k jednání).</w:t>
      </w:r>
    </w:p>
    <w:p w14:paraId="4BAF40CE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>Při rozhodování o péči už soud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 nebude 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rozhodovat o svěření dítěte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do péče společné, střídavé, nebo výlučné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.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Dítě si zaslouží péči obou rodičů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. To však automaticky neznamená, že by oba rodiče měli o dítě pečovat ve stejném rozsahu, soud bude rozhodovat o rozsahu péče stejně jako dosud. Cílem této změny je zrušit nálepky a boj o ně a tím přispět ke zmírnění rodičovského konfliktu.</w:t>
      </w:r>
    </w:p>
    <w:p w14:paraId="1D560231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>Dohodnou-li se rodiče na tom, že o dítě budou pečovat podle svých možností jako doteď, schválí soud dohodu rodičů o tom, že dítě zůstává v jejich péči,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nebude ale nijak určovat rozsah péče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. Zároveň ani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nebude autoritativně rozhodovat o výživném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. Pokud se ale rodiče na výživném dohodnou a budou chtít mít v ruce vykonatelný titul (např. exekutorem), potom bude soud moci schválit jejich dohodu. Tato situace odpovídá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 původní společné péči.</w:t>
      </w:r>
    </w:p>
    <w:p w14:paraId="079EE619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>Pokud rodiče nebudou schopni se na péči o dítě průběžně domlouvat jako dosud, soud rozhodne nejen o tom, že dítě zůstává v péči obou rodičů, ale rovněž o tom,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v jakém rozsahu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 bude každý z rodičů o dítě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pečovat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. Rozsah péče bude soud moci stanovit na široké škále od výrazně úzké péče jednoho z rodičů např. o víkendu jednou za dva týdny až po rovnoměrnou péči obou rodičů půl napůl. Při určení rozsahu péče bude rozhodující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nejlepší zájem dítěte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. Dále soud v těchto případech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vždy rozhodne i o výživném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 (autoritativně nebo tak, že schválí dohodu rodičů). Tato situace odpovídá v závislosti na rozsahu péče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původní výlučné nebo střídavé péči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.</w:t>
      </w:r>
    </w:p>
    <w:p w14:paraId="75EE0DD1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Nejlepší zájem dítěte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 je přitom vymezen mezinárodními dokumenty a judikaturou Ústavního soudu.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Soudy by měly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 při určení rozsahu péče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zohlednit zejména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:</w:t>
      </w:r>
    </w:p>
    <w:p w14:paraId="489508BB" w14:textId="77777777" w:rsidR="0036540E" w:rsidRPr="0036540E" w:rsidRDefault="0036540E" w:rsidP="0036540E">
      <w:pPr>
        <w:pStyle w:val="Odstavecseseznamem"/>
        <w:numPr>
          <w:ilvl w:val="0"/>
          <w:numId w:val="1"/>
        </w:num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>Existenci pokrevního pouta mezi dítětem a rodičem, který má o dítě pečovat.</w:t>
      </w:r>
    </w:p>
    <w:p w14:paraId="187CC6E0" w14:textId="77777777" w:rsidR="0036540E" w:rsidRPr="0036540E" w:rsidRDefault="0036540E" w:rsidP="0036540E">
      <w:pPr>
        <w:pStyle w:val="Odstavecseseznamem"/>
        <w:numPr>
          <w:ilvl w:val="0"/>
          <w:numId w:val="1"/>
        </w:num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lastRenderedPageBreak/>
        <w:t>Míru zachování identity dítěte a jeho rodinných vazeb v případě stanovení daného rozsahu péče (včetně vazby dítěte na sourozence a členy širší rodiny, i posouzení skutečnosti, zda např. některý z rodičů nebrání kontaktu dítěte s druhým rodičem a dalšími osobami, k nimž má dítě silnou náklonnost).</w:t>
      </w:r>
    </w:p>
    <w:p w14:paraId="05E64A28" w14:textId="77777777" w:rsidR="0036540E" w:rsidRPr="0036540E" w:rsidRDefault="0036540E" w:rsidP="0036540E">
      <w:pPr>
        <w:pStyle w:val="Odstavecseseznamem"/>
        <w:numPr>
          <w:ilvl w:val="0"/>
          <w:numId w:val="1"/>
        </w:num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>Schopnost osoby usilující o péči o dítě v určitém rozsahu zajistit jeho vývoj a fyzické, vzdělávací, emocionální, materiální a jiné potřeby. V této souvislosti soudy musí posuzovat také např. existenci domácího násilí (na dítěti, druhém z rodičů, jiných dětech; definice domácího násilí je nově obsažena v občanském zákoníku) nebo např. zohlednit, že je dítě kojeno.</w:t>
      </w:r>
    </w:p>
    <w:p w14:paraId="6EB79EA5" w14:textId="77777777" w:rsidR="0036540E" w:rsidRPr="0036540E" w:rsidRDefault="0036540E" w:rsidP="0036540E">
      <w:pPr>
        <w:pStyle w:val="Odstavecseseznamem"/>
        <w:numPr>
          <w:ilvl w:val="0"/>
          <w:numId w:val="1"/>
        </w:num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>Názor dítěte, přičemž je nezbytné zkoumat zejména věk dítěte (o dítěti starším 12 let se má za to, že svůj názor již sdělit dokáže) a např. i riziko jeho manipulace ze strany některého z rodičů. Soud k názoru dítěte přihlíží a ve svém rozhodnutí jej musí zohlednit, nikoliv však bez dalšího plně respektovat, protože jde pouze o jeden z aspektů zájmu dítěte.</w:t>
      </w:r>
    </w:p>
    <w:p w14:paraId="154E1009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>Při autoritativním rozhodování o výživném by měl soud výživné zásadně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vyměřit oběma rodičům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 xml:space="preserve">. Rozvod totiž nemá vliv na rodičovskou odpovědnost, o dítě budou pečovat oba rodiče, a proto by měli rodiče vynakládat výdaje, k jejichž úhradě výživné slouží (tj. výdaje vynakládané bez přímé souvislosti s péčí, např. výdaje na školní pomůcky, mimoškolní zájmové aktivity či tábor), po vzájemné dohodě. Půjde-li ale o konfliktní rodiče, kteří se na vynakládání těchto výdajů </w:t>
      </w:r>
      <w:proofErr w:type="gramStart"/>
      <w:r w:rsidRPr="0036540E">
        <w:rPr>
          <w:rFonts w:eastAsia="Times New Roman"/>
          <w:spacing w:val="3"/>
          <w:sz w:val="23"/>
          <w:szCs w:val="23"/>
          <w:lang w:eastAsia="cs-CZ"/>
        </w:rPr>
        <w:t>nedokáží</w:t>
      </w:r>
      <w:proofErr w:type="gramEnd"/>
      <w:r w:rsidRPr="0036540E">
        <w:rPr>
          <w:rFonts w:eastAsia="Times New Roman"/>
          <w:spacing w:val="3"/>
          <w:sz w:val="23"/>
          <w:szCs w:val="23"/>
          <w:lang w:eastAsia="cs-CZ"/>
        </w:rPr>
        <w:t xml:space="preserve"> domluvit, anebo o výrazně asymetrickou péči, kdy bude dané výdaje obvykle vynakládat pouze převážně pečující rodič, pak soud stanoví výživné pouze jednomu rodiči.</w:t>
      </w:r>
    </w:p>
    <w:p w14:paraId="6EC9F8EA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>Za úpravu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poměrů dítěte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 se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před soudem prvního stupně 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nebude i nadále platit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žádný soudní poplatek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. Nově ale bude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zpoplatněno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 částkou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3 000 Kč podání odvolání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 ve vybraných věcech péče soudu o nezletilé, mezi které patří i řízení ve věcech péče a výživy. Cílem je předejít tomu, aby rodiče podávali odvolání jen proto, že je to zadarmo, s cílem oddálit finální rozhodnutí nebo prohlubovat konflikt. Prodlužování řízení ale jen zhoršuje konflikt. Nově zavedený soudní poplatek by měl přispět k tomu, aby bylo odvolání podáváno jen v případech, kdy je rodič skutečně přesvědčen o nesprávnosti soudního rozhodnutí.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Nemajetný rodič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 bude moci i nadále požádat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o osvobození od soudních poplatků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.</w:t>
      </w:r>
    </w:p>
    <w:p w14:paraId="555F2C6E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>Po vyřešení poměrů dítěte přijde v tom samém řízení na řadu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rozvod manželství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. Manžele, kteří se dohodli na poměrech dítěte, úpravě majetkových poměrů a bydlení, rozvede soud v režimu zjednodušeného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smluveného rozvodu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.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 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V tomto případě soud nebude muset zjišťovat rozvrat manželství ani to, zda spolu manželé posledních šest měsíců nežijí. Novinkou je i možnost soudu upustit u dohodnutých manželů od jejich výslechu. Smluvený rozvod tedy přináší bonus v možnosti vyřešit rychle a jednoduše při jediném jednání majetek, děti i rozvod.</w:t>
      </w:r>
    </w:p>
    <w:p w14:paraId="3F3868E1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>Pokud se manželé nedovedou na všem dohodnout, rozvede je soud v režimu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běžného rozvodu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. I tento typ rozvodu bude v něčem jednodušší. Soud nově nebude muset zjišťovat příčiny rozvratu manželství (s výjimkou některých specifických případů).</w:t>
      </w:r>
    </w:p>
    <w:p w14:paraId="721C4F4F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>Za běžný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rozvod manželství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 zaplatí manželé soudní poplatek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5 000 Kč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. Pokud se ale manželé na všem dohodnou a soud je rozvede v režimu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smluveného rozvodu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, potom zaplatí snížený soudní poplatek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2 000 Kč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.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Nemajetní manželé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, jimž by úhrada soudního poplatku pro jejich nemajetnost činila problém, budou moci i nadále požádat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o osvobození od soudních poplatků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. Navrhovateli, který je obětí domácího násilí, lze přiznat proti násilníkovi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náhradu nákladů řízení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 (včetně náhrady uhrazeného soudního poplatku).</w:t>
      </w:r>
    </w:p>
    <w:p w14:paraId="431B8628" w14:textId="0856F0B1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</w:p>
    <w:p w14:paraId="11F67B22" w14:textId="77777777" w:rsidR="0036540E" w:rsidRPr="0036540E" w:rsidRDefault="0036540E" w:rsidP="0036540E">
      <w:pPr>
        <w:shd w:val="clear" w:color="auto" w:fill="EAF1DD" w:themeFill="accent3" w:themeFillTint="33"/>
        <w:outlineLvl w:val="2"/>
        <w:rPr>
          <w:rFonts w:eastAsia="Times New Roman"/>
          <w:spacing w:val="3"/>
          <w:sz w:val="27"/>
          <w:szCs w:val="27"/>
          <w:lang w:eastAsia="cs-CZ"/>
        </w:rPr>
      </w:pPr>
      <w:r w:rsidRPr="0036540E">
        <w:rPr>
          <w:rFonts w:eastAsia="Times New Roman"/>
          <w:b/>
          <w:bCs/>
          <w:spacing w:val="3"/>
          <w:sz w:val="27"/>
          <w:szCs w:val="27"/>
          <w:lang w:eastAsia="cs-CZ"/>
        </w:rPr>
        <w:t>Chceme se rozvést a dítě nemáme</w:t>
      </w:r>
    </w:p>
    <w:p w14:paraId="37DE8F95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>Možnost využít méně formální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smluvený rozvod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 bude samozřejmě i pro manžele bez dětí, pokud se dohodnou na úpravě majetkových poměrů a bydlení. Dohodnutí manželé zaplatí snížený soudní poplatek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za smluvený rozvod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 ve výši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2 000 Kč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.</w:t>
      </w:r>
    </w:p>
    <w:p w14:paraId="703724DD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lastRenderedPageBreak/>
        <w:t>Pokud se manželé nedohodnou, rozvede je soud v režimu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běžného rozvodu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, nově bez zjišťování příčin rozvratu manželství (až na výjimečné případy). Za běžný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rozvod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 zaplatí manželé soudní poplatek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5 000 Kč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. I zde budou mít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nemajetní manželé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 případně možnost podat žádost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o osvobození od soudního poplatku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. A opět platí, že navrhovateli, který je obětí domácího násilí, lze přiznat proti násilníkovi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náhradu nákladů řízení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 (včetně náhrady uhrazeného soudního poplatku).</w:t>
      </w:r>
    </w:p>
    <w:p w14:paraId="0E8E150B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>Návrh na rozvod manželství bez nezletilých dětí lze podat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u okresního soudu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, v jehož obvodu manželé naposledy bydleli, pokud v obvodu tohoto soudu alespoň jeden z nich ještě bydlí, pokud takový soud není, u soudu, v jehož obvodu bydlí ten manžel, který návrh nepodal, a pokud ani takový soud není, u soudu, v jehož obvodu bydlí navrhovatel.</w:t>
      </w:r>
    </w:p>
    <w:p w14:paraId="7BCA0A0E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> </w:t>
      </w:r>
    </w:p>
    <w:p w14:paraId="10F0AABB" w14:textId="77777777" w:rsidR="0036540E" w:rsidRPr="0036540E" w:rsidRDefault="0036540E" w:rsidP="004D1CE4">
      <w:pPr>
        <w:shd w:val="clear" w:color="auto" w:fill="EAF1DD" w:themeFill="accent3" w:themeFillTint="33"/>
        <w:outlineLvl w:val="2"/>
        <w:rPr>
          <w:rFonts w:eastAsia="Times New Roman"/>
          <w:spacing w:val="3"/>
          <w:sz w:val="27"/>
          <w:szCs w:val="27"/>
          <w:lang w:eastAsia="cs-CZ"/>
        </w:rPr>
      </w:pPr>
      <w:r w:rsidRPr="0036540E">
        <w:rPr>
          <w:rFonts w:eastAsia="Times New Roman"/>
          <w:b/>
          <w:bCs/>
          <w:spacing w:val="3"/>
          <w:sz w:val="27"/>
          <w:szCs w:val="27"/>
          <w:lang w:eastAsia="cs-CZ"/>
        </w:rPr>
        <w:t>Manželé nejsme, chceme ale upravit poměry našeho dítěte</w:t>
      </w:r>
    </w:p>
    <w:p w14:paraId="7BD29448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>Nová pravidla pro rozhodování o poměrech dítěte, jak byla popsána shora u manželů s nezletilými dětmi, se uplatní úplně stejně také pro nesezdané rodiče.</w:t>
      </w:r>
    </w:p>
    <w:p w14:paraId="588F91E1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> </w:t>
      </w:r>
    </w:p>
    <w:p w14:paraId="16DC4B2B" w14:textId="77777777" w:rsidR="0036540E" w:rsidRPr="0036540E" w:rsidRDefault="0036540E" w:rsidP="004D1CE4">
      <w:pPr>
        <w:shd w:val="clear" w:color="auto" w:fill="EAF1DD" w:themeFill="accent3" w:themeFillTint="33"/>
        <w:outlineLvl w:val="2"/>
        <w:rPr>
          <w:rFonts w:eastAsia="Times New Roman"/>
          <w:spacing w:val="3"/>
          <w:sz w:val="27"/>
          <w:szCs w:val="27"/>
          <w:lang w:eastAsia="cs-CZ"/>
        </w:rPr>
      </w:pPr>
      <w:r w:rsidRPr="0036540E">
        <w:rPr>
          <w:rFonts w:eastAsia="Times New Roman"/>
          <w:b/>
          <w:bCs/>
          <w:spacing w:val="3"/>
          <w:sz w:val="27"/>
          <w:szCs w:val="27"/>
          <w:lang w:eastAsia="cs-CZ"/>
        </w:rPr>
        <w:t>Co se stane s dříve vydanými rozhodnutími soudu o společné, střídavé nebo výlučné péči (do 31. 12. 2025)?</w:t>
      </w:r>
    </w:p>
    <w:p w14:paraId="1C3C6FB7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Nestane se nic.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 Tato rozhodnutí budou i nadále platit, rozvodová novela na ně nemá žádný vliv. Nové rozhodnutí o péči a výživě vydá soud jen při změně poměrů, je zbytečné se obracet na soud dříve.</w:t>
      </w:r>
    </w:p>
    <w:p w14:paraId="559670B5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> </w:t>
      </w:r>
    </w:p>
    <w:p w14:paraId="076EB68F" w14:textId="77777777" w:rsidR="0036540E" w:rsidRPr="0036540E" w:rsidRDefault="0036540E" w:rsidP="004D1CE4">
      <w:pPr>
        <w:shd w:val="clear" w:color="auto" w:fill="EAF1DD" w:themeFill="accent3" w:themeFillTint="33"/>
        <w:outlineLvl w:val="2"/>
        <w:rPr>
          <w:rFonts w:eastAsia="Times New Roman"/>
          <w:spacing w:val="3"/>
          <w:sz w:val="27"/>
          <w:szCs w:val="27"/>
          <w:lang w:eastAsia="cs-CZ"/>
        </w:rPr>
      </w:pPr>
      <w:r w:rsidRPr="0036540E">
        <w:rPr>
          <w:rFonts w:eastAsia="Times New Roman"/>
          <w:b/>
          <w:bCs/>
          <w:spacing w:val="3"/>
          <w:sz w:val="27"/>
          <w:szCs w:val="27"/>
          <w:lang w:eastAsia="cs-CZ"/>
        </w:rPr>
        <w:t>Co se stane, pokud byla řízení o úpravě poměrů dítěte a řízení o rozvod manželství zahájena do 31. 12. 2025, ale ještě nebyla vydána rozhodnutí?</w:t>
      </w:r>
    </w:p>
    <w:p w14:paraId="3D5E4785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>Pokud řízení probíhají u jednoho soudu, soud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rozhodne o jejich spojení do jednoho řízení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. Pokud jsou řízení vedena u různých soudů, budou se i nadále projednávat v odděleném režimu. Soud však již rozhodne o poměrech dítěte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podle nové právní úpravy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.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 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Soudní poplatek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zůstává v původní výši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, nedoplácí se.</w:t>
      </w:r>
    </w:p>
    <w:p w14:paraId="64EA7C4D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> </w:t>
      </w:r>
    </w:p>
    <w:p w14:paraId="12AF7EA7" w14:textId="77777777" w:rsidR="0036540E" w:rsidRPr="0036540E" w:rsidRDefault="0036540E" w:rsidP="004D1CE4">
      <w:pPr>
        <w:shd w:val="clear" w:color="auto" w:fill="EAF1DD" w:themeFill="accent3" w:themeFillTint="33"/>
        <w:outlineLvl w:val="2"/>
        <w:rPr>
          <w:rFonts w:eastAsia="Times New Roman"/>
          <w:spacing w:val="3"/>
          <w:sz w:val="27"/>
          <w:szCs w:val="27"/>
          <w:lang w:eastAsia="cs-CZ"/>
        </w:rPr>
      </w:pPr>
      <w:r w:rsidRPr="0036540E">
        <w:rPr>
          <w:rFonts w:eastAsia="Times New Roman"/>
          <w:b/>
          <w:bCs/>
          <w:spacing w:val="3"/>
          <w:sz w:val="27"/>
          <w:szCs w:val="27"/>
          <w:lang w:eastAsia="cs-CZ"/>
        </w:rPr>
        <w:t>Co dělat, když je potřeba prozatímně upravit poměry dítěte?</w:t>
      </w:r>
    </w:p>
    <w:p w14:paraId="719A76A0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>Zavádí se institut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prozatímního rozhodnutí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. Nově již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nebude možné upravit poměry dítěte obecným předběžným opatřením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 vydávaným do 7 dnů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bez slyšení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 druhého rodiče.</w:t>
      </w:r>
    </w:p>
    <w:p w14:paraId="4DC5CD8A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>Před vydáním prozatímního rozhodnutí by mělo být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oběma rodičům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umožněno se vyjádřit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. Tím odpadne moment překvapení druhého rodiče, který jen zhoršoval konflikt.</w:t>
      </w:r>
    </w:p>
    <w:p w14:paraId="386AF2E3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>Soud by měl prozatímní rozhodnutí vydat ve lhůtě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bez zbytečného odkladu, nejpozději do 3 měsíců (bude záležet na urgentnosti věci v daném konkrétním případě)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.</w:t>
      </w:r>
    </w:p>
    <w:p w14:paraId="79F4BA70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Omezuje se právo podat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odvolání. 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Tím se urychlí vydání rozhodnutí ve věci samé.</w:t>
      </w:r>
    </w:p>
    <w:p w14:paraId="3CA161EF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>Prozatímní rozhodnutí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trvá omezenou dobu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, kterou soud stanoví, max. 3 měsíce. Lze jej prodloužit či změnit.</w:t>
      </w:r>
    </w:p>
    <w:p w14:paraId="1636E26C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>Prozatímním rozhodnutím bude možné také předat dítě do péče budoucího osvojitele a svěřit dítě do předpěstounské péče.</w:t>
      </w:r>
    </w:p>
    <w:p w14:paraId="5298FF7B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>V kritických situacích, v nichž o dítě nebude řádně postaráno, nebo v nichž dojde k vážnému ohrožení či narušení jeho důležitého zájmu, bude soud moci i nadále vydat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do 24 hodin tzv. rychlé předběžné opatření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.</w:t>
      </w:r>
    </w:p>
    <w:p w14:paraId="528DFF01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lastRenderedPageBreak/>
        <w:t> </w:t>
      </w:r>
    </w:p>
    <w:p w14:paraId="2C7CA3BA" w14:textId="77777777" w:rsidR="0036540E" w:rsidRPr="0036540E" w:rsidRDefault="0036540E" w:rsidP="004D1CE4">
      <w:pPr>
        <w:shd w:val="clear" w:color="auto" w:fill="EAF1DD" w:themeFill="accent3" w:themeFillTint="33"/>
        <w:outlineLvl w:val="2"/>
        <w:rPr>
          <w:rFonts w:eastAsia="Times New Roman"/>
          <w:spacing w:val="3"/>
          <w:sz w:val="27"/>
          <w:szCs w:val="27"/>
          <w:lang w:eastAsia="cs-CZ"/>
        </w:rPr>
      </w:pPr>
      <w:r w:rsidRPr="0036540E">
        <w:rPr>
          <w:rFonts w:eastAsia="Times New Roman"/>
          <w:b/>
          <w:bCs/>
          <w:spacing w:val="3"/>
          <w:sz w:val="27"/>
          <w:szCs w:val="27"/>
          <w:lang w:eastAsia="cs-CZ"/>
        </w:rPr>
        <w:t>Co dělat, když druhý rodič neplatí výživné pro nezletilé dítě?</w:t>
      </w:r>
    </w:p>
    <w:p w14:paraId="44A1F2A8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>Po dobu prvých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6 měsíců 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prodlení bude možno požadovat úrok z prodlení z dlužného výživného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ve zvýšené sazbě 2,5 promile denně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 (tuto sazbu stanoví prováděcí nařízení vlády). Po uplynutí 6 měsíců bude možno uplatnit úrok z prodlení v zákonné výši.</w:t>
      </w:r>
    </w:p>
    <w:p w14:paraId="13E6F9F1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>Je možné se obrátit na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soud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 či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soudního exekutora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, aby výživné vymohli. Pokud to není úspěšné, lze podat žádost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o náhradní výživné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 – podrobnější informace </w:t>
      </w:r>
      <w:hyperlink r:id="rId7" w:tgtFrame="_blank" w:history="1">
        <w:r w:rsidRPr="0036540E">
          <w:rPr>
            <w:rFonts w:eastAsia="Times New Roman"/>
            <w:b/>
            <w:bCs/>
            <w:spacing w:val="12"/>
            <w:sz w:val="23"/>
            <w:szCs w:val="23"/>
            <w:u w:val="single"/>
            <w:lang w:eastAsia="cs-CZ"/>
          </w:rPr>
          <w:t>zde</w:t>
        </w:r>
      </w:hyperlink>
      <w:r w:rsidRPr="0036540E">
        <w:rPr>
          <w:rFonts w:eastAsia="Times New Roman"/>
          <w:spacing w:val="3"/>
          <w:sz w:val="23"/>
          <w:szCs w:val="23"/>
          <w:lang w:eastAsia="cs-CZ"/>
        </w:rPr>
        <w:t>.</w:t>
      </w:r>
    </w:p>
    <w:p w14:paraId="1F0F3D0A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>Upravuje se také možnost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postoupit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 splatnou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pohledávku výživného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. Pohledávku bude možné postoupit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za plnou cenu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 (tj. za úplatu alespoň ve výši jistiny pohledávky).</w:t>
      </w:r>
    </w:p>
    <w:p w14:paraId="26A55BBC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>Úplata za postoupení pohledávky bude muset být kvůli větší transparentnosti vždy uhrazena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bezhotovostním převodem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 na účet. </w:t>
      </w:r>
    </w:p>
    <w:p w14:paraId="30BD107E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Postoupení pohledávky pod cenou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 bude možné pouze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se souhlasem soudu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. Pokud by v takovém případě souhlas soudu chyběl, bylo by postoupení pohledávky absolutně neplatné.</w:t>
      </w:r>
    </w:p>
    <w:p w14:paraId="602E7967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> </w:t>
      </w:r>
    </w:p>
    <w:p w14:paraId="71F45721" w14:textId="77777777" w:rsidR="0036540E" w:rsidRPr="0036540E" w:rsidRDefault="0036540E" w:rsidP="004D1CE4">
      <w:pPr>
        <w:shd w:val="clear" w:color="auto" w:fill="EAF1DD" w:themeFill="accent3" w:themeFillTint="33"/>
        <w:outlineLvl w:val="2"/>
        <w:rPr>
          <w:rFonts w:eastAsia="Times New Roman"/>
          <w:spacing w:val="3"/>
          <w:sz w:val="27"/>
          <w:szCs w:val="27"/>
          <w:lang w:eastAsia="cs-CZ"/>
        </w:rPr>
      </w:pPr>
      <w:r w:rsidRPr="0036540E">
        <w:rPr>
          <w:rFonts w:eastAsia="Times New Roman"/>
          <w:b/>
          <w:bCs/>
          <w:spacing w:val="3"/>
          <w:sz w:val="27"/>
          <w:szCs w:val="27"/>
          <w:lang w:eastAsia="cs-CZ"/>
        </w:rPr>
        <w:t>Co dělat, když druhý rodič zmaří péči o dítě?</w:t>
      </w:r>
    </w:p>
    <w:p w14:paraId="45BF90B6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 xml:space="preserve">Pokud rodič zmaří péči druhého rodiče, která vyplývá ze soudního rozhodnutí nebo </w:t>
      </w:r>
      <w:proofErr w:type="gramStart"/>
      <w:r w:rsidRPr="0036540E">
        <w:rPr>
          <w:rFonts w:eastAsia="Times New Roman"/>
          <w:spacing w:val="3"/>
          <w:sz w:val="23"/>
          <w:szCs w:val="23"/>
          <w:lang w:eastAsia="cs-CZ"/>
        </w:rPr>
        <w:t>ze</w:t>
      </w:r>
      <w:proofErr w:type="gramEnd"/>
      <w:r w:rsidRPr="0036540E">
        <w:rPr>
          <w:rFonts w:eastAsia="Times New Roman"/>
          <w:spacing w:val="3"/>
          <w:sz w:val="23"/>
          <w:szCs w:val="23"/>
          <w:lang w:eastAsia="cs-CZ"/>
        </w:rPr>
        <w:t xml:space="preserve"> soudem schválené dohody, bude soud moci ve zmařeném rozsahu nařídit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náhradní péči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.</w:t>
      </w:r>
    </w:p>
    <w:p w14:paraId="611F7C8B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>Vzniknou-li rodiči v souvislosti se zmařenou péčí náklady, nebude se již muset jejich přiznání domáhat v samostatném řízení. Nově bude možné tyto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náklady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 uplatnit už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v řízení o výkonu rozhodnutí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.</w:t>
      </w:r>
    </w:p>
    <w:p w14:paraId="0FF9C5F4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> </w:t>
      </w:r>
    </w:p>
    <w:p w14:paraId="7C2BD2DD" w14:textId="77777777" w:rsidR="0036540E" w:rsidRPr="0036540E" w:rsidRDefault="0036540E" w:rsidP="004D1CE4">
      <w:pPr>
        <w:shd w:val="clear" w:color="auto" w:fill="EAF1DD" w:themeFill="accent3" w:themeFillTint="33"/>
        <w:outlineLvl w:val="2"/>
        <w:rPr>
          <w:rFonts w:eastAsia="Times New Roman"/>
          <w:spacing w:val="3"/>
          <w:sz w:val="27"/>
          <w:szCs w:val="27"/>
          <w:lang w:eastAsia="cs-CZ"/>
        </w:rPr>
      </w:pPr>
      <w:r w:rsidRPr="0036540E">
        <w:rPr>
          <w:rFonts w:eastAsia="Times New Roman"/>
          <w:b/>
          <w:bCs/>
          <w:spacing w:val="3"/>
          <w:sz w:val="27"/>
          <w:szCs w:val="27"/>
          <w:lang w:eastAsia="cs-CZ"/>
        </w:rPr>
        <w:t>Co dělat, když si rodič myslí, že je škoda každé rány, která padne vedle?</w:t>
      </w:r>
    </w:p>
    <w:p w14:paraId="38457573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>Nově se výslovně stanoví, že je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nepřijatelné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, aby děti byly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tělesně trestány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, anebo aby jim bylo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způsobováno duševní strádání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. Děti nesmí být ponižovány ani žádným jiným způsobem. Vědecké studie jasně prokazují, že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používání tělesných trestů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 ve výchově u dětí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přináší mnoho problémů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. Dochází například ke zhoršování vztahu s rodiči, důsledkem bývá i nadužívání návykových látek, neúspěchy ve škole, potíže ve vztazích. Fyzicky trestané nebo jinak ponižované děti si v dospělosti často vybírají agresivního partnera, přičemž ve zvýšené míře trpí duševními problémy.</w:t>
      </w:r>
    </w:p>
    <w:p w14:paraId="5BB79EB5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>Jedná se </w:t>
      </w:r>
      <w:r w:rsidRPr="0036540E">
        <w:rPr>
          <w:rFonts w:eastAsia="Times New Roman"/>
          <w:b/>
          <w:bCs/>
          <w:spacing w:val="3"/>
          <w:sz w:val="23"/>
          <w:szCs w:val="23"/>
          <w:lang w:eastAsia="cs-CZ"/>
        </w:rPr>
        <w:t>o deklaratorní právní úpravu</w:t>
      </w:r>
      <w:r w:rsidRPr="0036540E">
        <w:rPr>
          <w:rFonts w:eastAsia="Times New Roman"/>
          <w:spacing w:val="3"/>
          <w:sz w:val="23"/>
          <w:szCs w:val="23"/>
          <w:lang w:eastAsia="cs-CZ"/>
        </w:rPr>
        <w:t>. Úprava by měla vést především ke změně hodnotového přístupu rodičů při výchově dětí a k užívání jiných výchovných prostředků než tělesných trestů.</w:t>
      </w:r>
    </w:p>
    <w:p w14:paraId="2E506F1B" w14:textId="77777777" w:rsidR="0036540E" w:rsidRPr="0036540E" w:rsidRDefault="0036540E" w:rsidP="0036540E">
      <w:pPr>
        <w:shd w:val="clear" w:color="auto" w:fill="FFFFFF"/>
        <w:rPr>
          <w:rFonts w:eastAsia="Times New Roman"/>
          <w:spacing w:val="3"/>
          <w:sz w:val="23"/>
          <w:szCs w:val="23"/>
          <w:lang w:eastAsia="cs-CZ"/>
        </w:rPr>
      </w:pPr>
      <w:r w:rsidRPr="0036540E">
        <w:rPr>
          <w:rFonts w:eastAsia="Times New Roman"/>
          <w:spacing w:val="3"/>
          <w:sz w:val="23"/>
          <w:szCs w:val="23"/>
          <w:lang w:eastAsia="cs-CZ"/>
        </w:rPr>
        <w:t>Nicméně může na to reagovat i soud a např. doporučit adekvátní odbornou pomoc či vyhodnotit, zda použije jiná opatření.</w:t>
      </w:r>
    </w:p>
    <w:p w14:paraId="51BC382A" w14:textId="77777777" w:rsidR="00D67185" w:rsidRPr="0036540E" w:rsidRDefault="00D67185" w:rsidP="0036540E"/>
    <w:sectPr w:rsidR="00D67185" w:rsidRPr="003654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5FF78" w14:textId="77777777" w:rsidR="009B6F86" w:rsidRDefault="009B6F86" w:rsidP="0036540E">
      <w:pPr>
        <w:spacing w:after="0"/>
      </w:pPr>
      <w:r>
        <w:separator/>
      </w:r>
    </w:p>
  </w:endnote>
  <w:endnote w:type="continuationSeparator" w:id="0">
    <w:p w14:paraId="560E663B" w14:textId="77777777" w:rsidR="009B6F86" w:rsidRDefault="009B6F86" w:rsidP="003654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DD74" w14:textId="491A47B1" w:rsidR="0036540E" w:rsidRPr="0036540E" w:rsidRDefault="0036540E" w:rsidP="0036540E">
    <w:pPr>
      <w:pStyle w:val="Default"/>
      <w:rPr>
        <w:rFonts w:ascii="Garamond" w:hAnsi="Garamond"/>
        <w:sz w:val="20"/>
        <w:szCs w:val="20"/>
      </w:rPr>
    </w:pPr>
    <w:r w:rsidRPr="0036540E">
      <w:rPr>
        <w:rFonts w:ascii="Garamond" w:hAnsi="Garamond"/>
        <w:sz w:val="20"/>
        <w:szCs w:val="20"/>
      </w:rPr>
      <w:t xml:space="preserve">článek MSp </w:t>
    </w:r>
    <w:proofErr w:type="gramStart"/>
    <w:r w:rsidRPr="0036540E">
      <w:rPr>
        <w:rFonts w:ascii="Garamond" w:hAnsi="Garamond"/>
        <w:sz w:val="20"/>
        <w:szCs w:val="20"/>
      </w:rPr>
      <w:t xml:space="preserve">ČR: </w:t>
    </w:r>
    <w:r w:rsidRPr="0036540E">
      <w:rPr>
        <w:rFonts w:ascii="Garamond" w:hAnsi="Garamond"/>
        <w:sz w:val="20"/>
        <w:szCs w:val="20"/>
      </w:rPr>
      <w:t xml:space="preserve"> https://msp.gov.cz/web/msp/rozcestnik/-/clanek/rozvody2026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1C1D9" w14:textId="77777777" w:rsidR="009B6F86" w:rsidRDefault="009B6F86" w:rsidP="0036540E">
      <w:pPr>
        <w:spacing w:after="0"/>
      </w:pPr>
      <w:r>
        <w:separator/>
      </w:r>
    </w:p>
  </w:footnote>
  <w:footnote w:type="continuationSeparator" w:id="0">
    <w:p w14:paraId="29274B4C" w14:textId="77777777" w:rsidR="009B6F86" w:rsidRDefault="009B6F86" w:rsidP="003654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D5363"/>
    <w:multiLevelType w:val="multilevel"/>
    <w:tmpl w:val="A07A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032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0E"/>
    <w:rsid w:val="002352D8"/>
    <w:rsid w:val="0036540E"/>
    <w:rsid w:val="004D1CE4"/>
    <w:rsid w:val="005017E8"/>
    <w:rsid w:val="00635EFD"/>
    <w:rsid w:val="008A51D2"/>
    <w:rsid w:val="009B6F86"/>
    <w:rsid w:val="00A24788"/>
    <w:rsid w:val="00C627F0"/>
    <w:rsid w:val="00D67185"/>
    <w:rsid w:val="00E927E1"/>
    <w:rsid w:val="00EC394C"/>
    <w:rsid w:val="00F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D787"/>
  <w15:chartTrackingRefBased/>
  <w15:docId w15:val="{325320DB-708C-45BF-9003-38DC16DA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52D8"/>
    <w:pPr>
      <w:spacing w:after="120"/>
      <w:jc w:val="both"/>
    </w:pPr>
    <w:rPr>
      <w:rFonts w:ascii="Garamond" w:hAnsi="Garamond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65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5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654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4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4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4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4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4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4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7E8"/>
    <w:pPr>
      <w:jc w:val="both"/>
    </w:pPr>
    <w:rPr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6540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54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36540E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40E"/>
    <w:rPr>
      <w:rFonts w:asciiTheme="minorHAnsi" w:eastAsiaTheme="majorEastAsia" w:hAnsiTheme="minorHAnsi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40E"/>
    <w:rPr>
      <w:rFonts w:asciiTheme="minorHAnsi" w:eastAsiaTheme="majorEastAsia" w:hAnsiTheme="minorHAnsi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40E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40E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40E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40E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3654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40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40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4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40E"/>
    <w:rPr>
      <w:rFonts w:ascii="Garamond" w:hAnsi="Garamond"/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3654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40E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40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40E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36540E"/>
    <w:rPr>
      <w:b/>
      <w:bCs/>
      <w:smallCaps/>
      <w:color w:val="365F9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36540E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6540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6540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6540E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36540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6540E"/>
    <w:rPr>
      <w:rFonts w:ascii="Garamond" w:hAnsi="Garamond"/>
      <w:sz w:val="24"/>
    </w:rPr>
  </w:style>
  <w:style w:type="paragraph" w:customStyle="1" w:styleId="Default">
    <w:name w:val="Default"/>
    <w:rsid w:val="0036540E"/>
    <w:pPr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1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psv.cz/nahradni-vyziv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1800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Domažlicích</Company>
  <LinksUpToDate>false</LinksUpToDate>
  <CharactersWithSpaces>12396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Zdeborová Jana</dc:creator>
  <cp:keywords/>
  <dc:description/>
  <cp:lastModifiedBy>Zdeborová Jana</cp:lastModifiedBy>
  <cp:revision>1</cp:revision>
  <dcterms:created xsi:type="dcterms:W3CDTF">2026-01-05T07:38:00Z</dcterms:created>
  <dcterms:modified xsi:type="dcterms:W3CDTF">2026-01-05T07:53:00Z</dcterms:modified>
</cp:coreProperties>
</file>