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FBCF" w14:textId="77777777" w:rsidR="004439D4" w:rsidRPr="00E77173" w:rsidRDefault="004439D4" w:rsidP="004439D4">
      <w:pPr>
        <w:spacing w:after="120" w:line="240" w:lineRule="auto"/>
        <w:jc w:val="center"/>
        <w:rPr>
          <w:rFonts w:ascii="Garamond" w:eastAsia="Aptos" w:hAnsi="Garamond"/>
          <w:b/>
          <w:bCs/>
          <w:kern w:val="2"/>
          <w:sz w:val="28"/>
          <w:szCs w:val="28"/>
          <w:lang w:eastAsia="en-US"/>
        </w:rPr>
      </w:pPr>
      <w:r w:rsidRPr="00E77173">
        <w:rPr>
          <w:rFonts w:ascii="Garamond" w:eastAsia="Aptos" w:hAnsi="Garamond"/>
          <w:b/>
          <w:bCs/>
          <w:kern w:val="2"/>
          <w:sz w:val="28"/>
          <w:szCs w:val="28"/>
          <w:lang w:eastAsia="en-US"/>
        </w:rPr>
        <w:t>SOUHLAS SE ZPRACOVÁNÍM OSOBNÍCH ÚDAJŮ</w:t>
      </w:r>
    </w:p>
    <w:p w14:paraId="5C20EDD1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</w:p>
    <w:p w14:paraId="76505EE9" w14:textId="77777777" w:rsidR="004439D4" w:rsidRPr="00E77173" w:rsidRDefault="004439D4" w:rsidP="004439D4">
      <w:pPr>
        <w:spacing w:after="24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Já, níže podepsaný/á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6935"/>
      </w:tblGrid>
      <w:tr w:rsidR="004439D4" w:rsidRPr="00426CAD" w14:paraId="380FEA11" w14:textId="77777777" w:rsidTr="00706AC4">
        <w:tc>
          <w:tcPr>
            <w:tcW w:w="2117" w:type="dxa"/>
          </w:tcPr>
          <w:p w14:paraId="045617BF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  <w:r w:rsidRPr="00426CAD"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6935" w:type="dxa"/>
          </w:tcPr>
          <w:p w14:paraId="75D99AAE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</w:p>
        </w:tc>
      </w:tr>
      <w:tr w:rsidR="004439D4" w:rsidRPr="00426CAD" w14:paraId="09D4A072" w14:textId="77777777" w:rsidTr="00706AC4">
        <w:tc>
          <w:tcPr>
            <w:tcW w:w="2117" w:type="dxa"/>
          </w:tcPr>
          <w:p w14:paraId="55935488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  <w:r w:rsidRPr="00426CAD"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  <w:t>Datum narození</w:t>
            </w:r>
          </w:p>
        </w:tc>
        <w:tc>
          <w:tcPr>
            <w:tcW w:w="6935" w:type="dxa"/>
          </w:tcPr>
          <w:p w14:paraId="101ED4C1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</w:p>
        </w:tc>
      </w:tr>
      <w:tr w:rsidR="004439D4" w:rsidRPr="00426CAD" w14:paraId="06123D09" w14:textId="77777777" w:rsidTr="00706AC4">
        <w:tc>
          <w:tcPr>
            <w:tcW w:w="2117" w:type="dxa"/>
          </w:tcPr>
          <w:p w14:paraId="3D1BEEF6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  <w:r w:rsidRPr="00426CAD"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  <w:t>Bydliště</w:t>
            </w:r>
          </w:p>
        </w:tc>
        <w:tc>
          <w:tcPr>
            <w:tcW w:w="6935" w:type="dxa"/>
          </w:tcPr>
          <w:p w14:paraId="73AB1A06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04BC48A2" w14:textId="77777777" w:rsidR="004439D4" w:rsidRPr="00E77173" w:rsidRDefault="004439D4" w:rsidP="004439D4">
      <w:pPr>
        <w:spacing w:before="120" w:after="360" w:line="240" w:lineRule="auto"/>
        <w:jc w:val="both"/>
        <w:rPr>
          <w:rFonts w:ascii="Garamond" w:eastAsia="Aptos" w:hAnsi="Garamond"/>
          <w:b/>
          <w:bCs/>
          <w:kern w:val="2"/>
          <w:sz w:val="20"/>
          <w:szCs w:val="20"/>
          <w:lang w:eastAsia="en-US"/>
        </w:rPr>
      </w:pPr>
      <w:r w:rsidRPr="00E77173">
        <w:rPr>
          <w:rFonts w:ascii="Garamond" w:eastAsia="Aptos" w:hAnsi="Garamond"/>
          <w:b/>
          <w:bCs/>
          <w:kern w:val="2"/>
          <w:sz w:val="20"/>
          <w:szCs w:val="20"/>
          <w:lang w:eastAsia="en-US"/>
        </w:rPr>
        <w:t xml:space="preserve">uděluji tímto souhlas Okresnímu v Jeseníku, se sídlem Dukelská </w:t>
      </w:r>
      <w:proofErr w:type="gramStart"/>
      <w:r w:rsidRPr="00E77173">
        <w:rPr>
          <w:rFonts w:ascii="Garamond" w:eastAsia="Aptos" w:hAnsi="Garamond"/>
          <w:b/>
          <w:bCs/>
          <w:kern w:val="2"/>
          <w:sz w:val="20"/>
          <w:szCs w:val="20"/>
          <w:lang w:eastAsia="en-US"/>
        </w:rPr>
        <w:t>2a</w:t>
      </w:r>
      <w:proofErr w:type="gramEnd"/>
      <w:r w:rsidRPr="00E77173">
        <w:rPr>
          <w:rFonts w:ascii="Garamond" w:eastAsia="Aptos" w:hAnsi="Garamond"/>
          <w:b/>
          <w:bCs/>
          <w:kern w:val="2"/>
          <w:sz w:val="20"/>
          <w:szCs w:val="20"/>
          <w:lang w:eastAsia="en-US"/>
        </w:rPr>
        <w:t>/761, 790 01 Jeseník (dále jen „Správce“), souhlas se zpracováním mých osobních údajů, a to za níže uvedených podmínek</w:t>
      </w:r>
    </w:p>
    <w:p w14:paraId="463B1178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  <w:t>1. OSOBNÍ ÚDAJE, KTERÉ BUDOU ZPRACOVÁNY (dále jen „OÚ“):</w:t>
      </w:r>
    </w:p>
    <w:p w14:paraId="6319FF49" w14:textId="77777777" w:rsidR="004439D4" w:rsidRPr="00E77173" w:rsidRDefault="004439D4" w:rsidP="004439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 xml:space="preserve">jméno a příjmení, </w:t>
      </w:r>
    </w:p>
    <w:p w14:paraId="7763736D" w14:textId="77777777" w:rsidR="004439D4" w:rsidRPr="00E77173" w:rsidRDefault="004439D4" w:rsidP="004439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datum narození,</w:t>
      </w:r>
    </w:p>
    <w:p w14:paraId="3D50099E" w14:textId="77777777" w:rsidR="004439D4" w:rsidRPr="00E77173" w:rsidRDefault="004439D4" w:rsidP="004439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adresa trvalého bydliště,</w:t>
      </w:r>
    </w:p>
    <w:p w14:paraId="428DD754" w14:textId="77777777" w:rsidR="004439D4" w:rsidRPr="00E77173" w:rsidRDefault="004439D4" w:rsidP="004439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podpis.</w:t>
      </w:r>
    </w:p>
    <w:p w14:paraId="568A7EB1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</w:p>
    <w:p w14:paraId="1A2B2997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  <w:t>2. ÚČELEM ZPRACOVÁNÍ OSOBNÍCH ÚDAJŮ JE:</w:t>
      </w:r>
    </w:p>
    <w:p w14:paraId="04E73ECE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  <w:t>Účast na výběrovém řízení na obsazení pozice</w:t>
      </w:r>
    </w:p>
    <w:p w14:paraId="36611A1C" w14:textId="11A11F2C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>
        <w:rPr>
          <w:rFonts w:ascii="Garamond" w:eastAsia="Aptos" w:hAnsi="Garamond"/>
          <w:kern w:val="2"/>
          <w:sz w:val="24"/>
          <w:szCs w:val="24"/>
          <w:lang w:eastAsia="en-US"/>
        </w:rPr>
        <w:t xml:space="preserve">Správce počítačové sítě </w:t>
      </w: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 xml:space="preserve">(pod č.j. 0 </w:t>
      </w:r>
      <w:proofErr w:type="spellStart"/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Spr</w:t>
      </w:r>
      <w:proofErr w:type="spellEnd"/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 xml:space="preserve"> </w:t>
      </w:r>
      <w:r>
        <w:rPr>
          <w:rFonts w:ascii="Garamond" w:eastAsia="Aptos" w:hAnsi="Garamond"/>
          <w:kern w:val="2"/>
          <w:sz w:val="24"/>
          <w:szCs w:val="24"/>
          <w:lang w:eastAsia="en-US"/>
        </w:rPr>
        <w:t>1032-2</w:t>
      </w: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/2026)</w:t>
      </w:r>
    </w:p>
    <w:p w14:paraId="463383A1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</w:p>
    <w:p w14:paraId="414DA110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b/>
          <w:bCs/>
          <w:kern w:val="2"/>
          <w:sz w:val="24"/>
          <w:szCs w:val="24"/>
          <w:lang w:eastAsia="en-US"/>
        </w:rPr>
        <w:t>Poučení:</w:t>
      </w: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 xml:space="preserve"> Pokud uchazeč o zaměstnání v rámci výběrového řízení tento souhlas dle bodu 2. nepodepíše a neodevzdá ve lhůtě stanovené pro zaslání podkladů pro výběrové řízení personálnímu oddělení, jedná se o důvod k vyřazení takového uchazeče z výběrového řízení. Všechny zaslané dokumenty tímto uchazečem, které obsahují OÚ personální oddělení neprodleně skartuje.</w:t>
      </w:r>
    </w:p>
    <w:p w14:paraId="5A28BA07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</w:p>
    <w:p w14:paraId="677588DD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  <w:r w:rsidRPr="00E77173">
        <w:rPr>
          <w:rFonts w:ascii="Garamond" w:eastAsia="Aptos" w:hAnsi="Garamond"/>
          <w:kern w:val="2"/>
          <w:sz w:val="24"/>
          <w:szCs w:val="24"/>
          <w:lang w:eastAsia="en-US"/>
        </w:rPr>
        <w:t>Svým podpisem stvrzuji, že souhlas jsem udělil(a) svobodně a informacím rozumím.</w:t>
      </w:r>
    </w:p>
    <w:p w14:paraId="23107CD3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2268"/>
        <w:gridCol w:w="1559"/>
        <w:gridCol w:w="4242"/>
      </w:tblGrid>
      <w:tr w:rsidR="004439D4" w:rsidRPr="00426CAD" w14:paraId="20DA8BF3" w14:textId="77777777" w:rsidTr="00706AC4">
        <w:tc>
          <w:tcPr>
            <w:tcW w:w="983" w:type="dxa"/>
          </w:tcPr>
          <w:p w14:paraId="4A916BC4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  <w:r w:rsidRPr="00426CAD"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  <w:t>Dne</w:t>
            </w:r>
          </w:p>
        </w:tc>
        <w:tc>
          <w:tcPr>
            <w:tcW w:w="2268" w:type="dxa"/>
          </w:tcPr>
          <w:p w14:paraId="47E0121F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A2419E2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  <w:r w:rsidRPr="00426CAD"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242" w:type="dxa"/>
          </w:tcPr>
          <w:p w14:paraId="5601DF26" w14:textId="77777777" w:rsidR="004439D4" w:rsidRPr="00426CAD" w:rsidRDefault="004439D4" w:rsidP="00706AC4">
            <w:pPr>
              <w:spacing w:after="120" w:line="259" w:lineRule="auto"/>
              <w:jc w:val="both"/>
              <w:rPr>
                <w:rFonts w:ascii="Garamond" w:eastAsia="Aptos" w:hAnsi="Garamond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7B37A644" w14:textId="77777777" w:rsidR="004439D4" w:rsidRPr="00E77173" w:rsidRDefault="004439D4" w:rsidP="004439D4">
      <w:pPr>
        <w:spacing w:after="120" w:line="240" w:lineRule="auto"/>
        <w:jc w:val="both"/>
        <w:rPr>
          <w:rFonts w:ascii="Garamond" w:eastAsia="Aptos" w:hAnsi="Garamond"/>
          <w:kern w:val="2"/>
          <w:sz w:val="24"/>
          <w:szCs w:val="24"/>
          <w:lang w:eastAsia="en-US"/>
        </w:rPr>
      </w:pPr>
    </w:p>
    <w:p w14:paraId="20F2795D" w14:textId="77777777" w:rsidR="004439D4" w:rsidRPr="00E77173" w:rsidRDefault="004439D4" w:rsidP="004439D4">
      <w:pPr>
        <w:pStyle w:val="Bezmezer"/>
        <w:jc w:val="both"/>
        <w:rPr>
          <w:rFonts w:ascii="Garamond" w:hAnsi="Garamond" w:cs="Tahoma"/>
          <w:sz w:val="24"/>
          <w:szCs w:val="24"/>
        </w:rPr>
      </w:pPr>
    </w:p>
    <w:p w14:paraId="1126A59A" w14:textId="77777777" w:rsidR="004439D4" w:rsidRPr="00E77173" w:rsidRDefault="004439D4" w:rsidP="004439D4">
      <w:pPr>
        <w:pStyle w:val="Bezmezer"/>
        <w:jc w:val="both"/>
        <w:rPr>
          <w:rFonts w:ascii="Garamond" w:hAnsi="Garamond" w:cs="Tahoma"/>
          <w:sz w:val="24"/>
          <w:szCs w:val="24"/>
        </w:rPr>
      </w:pPr>
    </w:p>
    <w:p w14:paraId="47B2D8DA" w14:textId="77777777" w:rsidR="00361C4E" w:rsidRPr="00263BB3" w:rsidRDefault="00361C4E" w:rsidP="00357E97"/>
    <w:sectPr w:rsidR="00361C4E" w:rsidRPr="00263BB3" w:rsidSect="00A9335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D658" w14:textId="77777777" w:rsidR="00A40472" w:rsidRDefault="00A40472" w:rsidP="00A93359">
      <w:pPr>
        <w:spacing w:after="0"/>
      </w:pPr>
      <w:r>
        <w:separator/>
      </w:r>
    </w:p>
  </w:endnote>
  <w:endnote w:type="continuationSeparator" w:id="0">
    <w:p w14:paraId="521F4623" w14:textId="77777777" w:rsidR="00A40472" w:rsidRDefault="00A40472" w:rsidP="00A9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27B0" w14:textId="77777777" w:rsidR="00A40472" w:rsidRDefault="00A40472" w:rsidP="00A93359">
      <w:pPr>
        <w:spacing w:after="0"/>
      </w:pPr>
      <w:r>
        <w:separator/>
      </w:r>
    </w:p>
  </w:footnote>
  <w:footnote w:type="continuationSeparator" w:id="0">
    <w:p w14:paraId="345BC411" w14:textId="77777777" w:rsidR="00A40472" w:rsidRDefault="00A40472" w:rsidP="00A9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66437"/>
      <w:docPartObj>
        <w:docPartGallery w:val="Page Numbers (Top of Page)"/>
        <w:docPartUnique/>
      </w:docPartObj>
    </w:sdtPr>
    <w:sdtEndPr/>
    <w:sdtContent>
      <w:p w14:paraId="4245172F" w14:textId="77777777" w:rsidR="00A93359" w:rsidRDefault="00A93359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974D66" w14:textId="77777777" w:rsidR="00A93359" w:rsidRDefault="00A93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3967"/>
    <w:multiLevelType w:val="hybridMultilevel"/>
    <w:tmpl w:val="AB7C21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39D4"/>
    <w:rsid w:val="00263BB3"/>
    <w:rsid w:val="002F587C"/>
    <w:rsid w:val="00357E97"/>
    <w:rsid w:val="00361C4E"/>
    <w:rsid w:val="004439D4"/>
    <w:rsid w:val="00A178E3"/>
    <w:rsid w:val="00A40472"/>
    <w:rsid w:val="00A8582A"/>
    <w:rsid w:val="00A93359"/>
    <w:rsid w:val="00BC3693"/>
    <w:rsid w:val="00E3170F"/>
    <w:rsid w:val="00F2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E4EF"/>
  <w15:chartTrackingRefBased/>
  <w15:docId w15:val="{F26D950C-2B29-4B6C-B28D-09C5EC81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9D4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93359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93359"/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39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443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4439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4439D4"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4439D4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4439D4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874</Characters>
  <Application>Microsoft Office Word</Application>
  <DocSecurity>0</DocSecurity>
  <Lines>7</Lines>
  <Paragraphs>2</Paragraphs>
  <ScaleCrop>false</ScaleCrop>
  <Company>Okresní soud v Jeseníku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Sucháček Miroslav Ing.</dc:creator>
  <cp:keywords/>
  <dc:description/>
  <cp:lastModifiedBy>Sucháček Miroslav Ing.</cp:lastModifiedBy>
  <cp:revision>1</cp:revision>
  <dcterms:created xsi:type="dcterms:W3CDTF">2026-06-08T13:03:00Z</dcterms:created>
  <dcterms:modified xsi:type="dcterms:W3CDTF">2026-06-08T13:07:00Z</dcterms:modified>
</cp:coreProperties>
</file>