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F128" w14:textId="77777777" w:rsidR="001A2E45" w:rsidRDefault="001A2E45" w:rsidP="001A2E45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 xml:space="preserve">                                         NOTÁŘSKÁ KOMORA ČESKÉ REPUBLIKY</w:t>
      </w:r>
    </w:p>
    <w:p w14:paraId="38632C33" w14:textId="55084532" w:rsidR="001A2E45" w:rsidRDefault="001A2E45" w:rsidP="001A2E45">
      <w:pPr>
        <w:suppressAutoHyphens w:val="0"/>
        <w:autoSpaceDE w:val="0"/>
        <w:autoSpaceDN w:val="0"/>
        <w:adjustRightInd w:val="0"/>
        <w:spacing w:before="240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>vyhlašuje podle § 8 odst. 6 zákona č. 358/1992 Sb., o notářích a jejich činnosti (notářský řád), ve znění pozdějších předpisů (dále jen „notářský řád“), a podle § 2 odst. 1 předpisu Notářské komory České republiky o postupu při vyhlašování a organizaci konkurzu na obsazení notářského úřadu (konkurzní řád),</w:t>
      </w:r>
    </w:p>
    <w:p w14:paraId="590C1662" w14:textId="77777777" w:rsidR="00A123D0" w:rsidRPr="00A123D0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4FA381DC" w14:textId="51B6489A" w:rsidR="001A2E45" w:rsidRPr="00A123D0" w:rsidRDefault="001A2E45" w:rsidP="00A123D0">
      <w:pPr>
        <w:pStyle w:val="Bezmezer"/>
        <w:jc w:val="center"/>
        <w:rPr>
          <w:rFonts w:eastAsia="Calibri"/>
          <w:b/>
          <w:bCs/>
        </w:rPr>
      </w:pPr>
      <w:r w:rsidRPr="00A123D0">
        <w:rPr>
          <w:rFonts w:eastAsia="Calibri"/>
          <w:b/>
          <w:bCs/>
        </w:rPr>
        <w:t>KONKURZ</w:t>
      </w:r>
    </w:p>
    <w:p w14:paraId="63068574" w14:textId="77777777" w:rsidR="00A123D0" w:rsidRPr="00A123D0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288BCE5A" w14:textId="20BDBCBC" w:rsidR="00A246BF" w:rsidRPr="00A123D0" w:rsidRDefault="001A2E45" w:rsidP="00A123D0">
      <w:pPr>
        <w:pStyle w:val="Bezmezer"/>
        <w:rPr>
          <w:rFonts w:ascii="Tahoma" w:eastAsia="Calibri" w:hAnsi="Tahoma" w:cs="Tahoma"/>
          <w:sz w:val="22"/>
          <w:szCs w:val="22"/>
        </w:rPr>
      </w:pPr>
      <w:r w:rsidRPr="00A123D0">
        <w:rPr>
          <w:rFonts w:ascii="Tahoma" w:eastAsia="Calibri" w:hAnsi="Tahoma" w:cs="Tahoma"/>
          <w:b/>
          <w:bCs/>
          <w:sz w:val="22"/>
          <w:szCs w:val="22"/>
        </w:rPr>
        <w:t xml:space="preserve">na obsazení notářského úřadu </w:t>
      </w:r>
      <w:r w:rsidR="00A123D0">
        <w:rPr>
          <w:rFonts w:ascii="Tahoma" w:eastAsia="Calibri" w:hAnsi="Tahoma" w:cs="Tahoma"/>
          <w:sz w:val="22"/>
          <w:szCs w:val="22"/>
        </w:rPr>
        <w:t xml:space="preserve">v </w:t>
      </w:r>
      <w:r w:rsidRPr="00A123D0">
        <w:rPr>
          <w:rFonts w:ascii="Tahoma" w:eastAsia="Calibri" w:hAnsi="Tahoma" w:cs="Tahoma"/>
          <w:sz w:val="22"/>
          <w:szCs w:val="22"/>
        </w:rPr>
        <w:t>obvod</w:t>
      </w:r>
      <w:r w:rsidR="00A123D0">
        <w:rPr>
          <w:rFonts w:ascii="Tahoma" w:eastAsia="Calibri" w:hAnsi="Tahoma" w:cs="Tahoma"/>
          <w:sz w:val="22"/>
          <w:szCs w:val="22"/>
        </w:rPr>
        <w:t>u</w:t>
      </w:r>
      <w:r w:rsidRPr="00A123D0">
        <w:rPr>
          <w:rFonts w:ascii="Tahoma" w:eastAsia="Calibri" w:hAnsi="Tahoma" w:cs="Tahoma"/>
          <w:sz w:val="22"/>
          <w:szCs w:val="22"/>
        </w:rPr>
        <w:t xml:space="preserve"> Okresního soudu v</w:t>
      </w:r>
      <w:r w:rsidR="00563B85" w:rsidRPr="00A123D0">
        <w:rPr>
          <w:rFonts w:ascii="Tahoma" w:eastAsia="Calibri" w:hAnsi="Tahoma" w:cs="Tahoma"/>
          <w:sz w:val="22"/>
          <w:szCs w:val="22"/>
        </w:rPr>
        <w:t xml:space="preserve"> </w:t>
      </w:r>
      <w:r w:rsidR="000B3FB1">
        <w:rPr>
          <w:rFonts w:ascii="Tahoma" w:eastAsia="Calibri" w:hAnsi="Tahoma" w:cs="Tahoma"/>
          <w:sz w:val="22"/>
          <w:szCs w:val="22"/>
        </w:rPr>
        <w:t>Hodoníně</w:t>
      </w:r>
      <w:r w:rsidRPr="00A123D0">
        <w:rPr>
          <w:rFonts w:ascii="Tahoma" w:eastAsia="Calibri" w:hAnsi="Tahoma" w:cs="Tahoma"/>
          <w:sz w:val="22"/>
          <w:szCs w:val="22"/>
        </w:rPr>
        <w:t xml:space="preserve"> se sídlem </w:t>
      </w:r>
      <w:r w:rsidRPr="00A123D0">
        <w:rPr>
          <w:rFonts w:ascii="Tahoma" w:eastAsia="Calibri" w:hAnsi="Tahoma" w:cs="Tahoma"/>
          <w:b/>
          <w:bCs/>
          <w:sz w:val="22"/>
          <w:szCs w:val="22"/>
        </w:rPr>
        <w:t>v </w:t>
      </w:r>
      <w:r w:rsidR="000B3FB1">
        <w:rPr>
          <w:rFonts w:ascii="Tahoma" w:eastAsia="Calibri" w:hAnsi="Tahoma" w:cs="Tahoma"/>
          <w:b/>
          <w:sz w:val="22"/>
          <w:szCs w:val="22"/>
        </w:rPr>
        <w:t>Hodoníně</w:t>
      </w:r>
      <w:r w:rsidR="00A246BF" w:rsidRPr="00A123D0">
        <w:rPr>
          <w:rFonts w:ascii="Tahoma" w:eastAsia="Calibri" w:hAnsi="Tahoma" w:cs="Tahoma"/>
          <w:bCs/>
          <w:sz w:val="22"/>
          <w:szCs w:val="22"/>
        </w:rPr>
        <w:t xml:space="preserve"> u</w:t>
      </w:r>
      <w:r w:rsidRPr="00A123D0">
        <w:rPr>
          <w:rFonts w:ascii="Tahoma" w:eastAsia="Calibri" w:hAnsi="Tahoma" w:cs="Tahoma"/>
          <w:sz w:val="22"/>
          <w:szCs w:val="22"/>
        </w:rPr>
        <w:t>volněn</w:t>
      </w:r>
      <w:r w:rsidR="001437C1">
        <w:rPr>
          <w:rFonts w:ascii="Tahoma" w:eastAsia="Calibri" w:hAnsi="Tahoma" w:cs="Tahoma"/>
          <w:sz w:val="22"/>
          <w:szCs w:val="22"/>
        </w:rPr>
        <w:t>ého</w:t>
      </w:r>
      <w:r w:rsidRPr="00A123D0">
        <w:rPr>
          <w:rFonts w:ascii="Tahoma" w:eastAsia="Calibri" w:hAnsi="Tahoma" w:cs="Tahoma"/>
          <w:sz w:val="22"/>
          <w:szCs w:val="22"/>
        </w:rPr>
        <w:t xml:space="preserve"> po notář</w:t>
      </w:r>
      <w:r w:rsidR="000B3FB1">
        <w:rPr>
          <w:rFonts w:ascii="Tahoma" w:eastAsia="Calibri" w:hAnsi="Tahoma" w:cs="Tahoma"/>
          <w:sz w:val="22"/>
          <w:szCs w:val="22"/>
        </w:rPr>
        <w:t xml:space="preserve">ce </w:t>
      </w:r>
      <w:r w:rsidR="003614D4">
        <w:rPr>
          <w:rFonts w:ascii="Tahoma" w:eastAsia="Calibri" w:hAnsi="Tahoma" w:cs="Tahoma"/>
          <w:sz w:val="22"/>
          <w:szCs w:val="22"/>
        </w:rPr>
        <w:t xml:space="preserve">JUDr. </w:t>
      </w:r>
      <w:r w:rsidR="000B3FB1">
        <w:rPr>
          <w:rFonts w:ascii="Tahoma" w:eastAsia="Calibri" w:hAnsi="Tahoma" w:cs="Tahoma"/>
          <w:sz w:val="22"/>
          <w:szCs w:val="22"/>
        </w:rPr>
        <w:t>Zdeňce Horákové</w:t>
      </w:r>
      <w:r w:rsidRPr="00A123D0">
        <w:rPr>
          <w:rFonts w:ascii="Tahoma" w:eastAsia="Calibri" w:hAnsi="Tahoma" w:cs="Tahoma"/>
          <w:sz w:val="22"/>
          <w:szCs w:val="22"/>
        </w:rPr>
        <w:t>, kter</w:t>
      </w:r>
      <w:r w:rsidR="000B3FB1">
        <w:rPr>
          <w:rFonts w:ascii="Tahoma" w:eastAsia="Calibri" w:hAnsi="Tahoma" w:cs="Tahoma"/>
          <w:sz w:val="22"/>
          <w:szCs w:val="22"/>
        </w:rPr>
        <w:t xml:space="preserve">á </w:t>
      </w:r>
      <w:r w:rsidRPr="00A123D0">
        <w:rPr>
          <w:rFonts w:ascii="Tahoma" w:eastAsia="Calibri" w:hAnsi="Tahoma" w:cs="Tahoma"/>
          <w:sz w:val="22"/>
          <w:szCs w:val="22"/>
        </w:rPr>
        <w:t>ukončí činnost dn</w:t>
      </w:r>
      <w:r w:rsidR="00A246BF" w:rsidRPr="00A123D0">
        <w:rPr>
          <w:rFonts w:ascii="Tahoma" w:eastAsia="Calibri" w:hAnsi="Tahoma" w:cs="Tahoma"/>
          <w:sz w:val="22"/>
          <w:szCs w:val="22"/>
        </w:rPr>
        <w:t>e</w:t>
      </w:r>
      <w:r w:rsidRPr="00A123D0">
        <w:rPr>
          <w:rFonts w:ascii="Tahoma" w:eastAsia="Calibri" w:hAnsi="Tahoma" w:cs="Tahoma"/>
          <w:sz w:val="22"/>
          <w:szCs w:val="22"/>
        </w:rPr>
        <w:t xml:space="preserve"> 31. </w:t>
      </w:r>
      <w:r w:rsidR="00A71C44">
        <w:rPr>
          <w:rFonts w:ascii="Tahoma" w:eastAsia="Calibri" w:hAnsi="Tahoma" w:cs="Tahoma"/>
          <w:sz w:val="22"/>
          <w:szCs w:val="22"/>
        </w:rPr>
        <w:t>12</w:t>
      </w:r>
      <w:r w:rsidRPr="00A123D0">
        <w:rPr>
          <w:rFonts w:ascii="Tahoma" w:eastAsia="Calibri" w:hAnsi="Tahoma" w:cs="Tahoma"/>
          <w:sz w:val="22"/>
          <w:szCs w:val="22"/>
        </w:rPr>
        <w:t>. 202</w:t>
      </w:r>
      <w:r w:rsidR="000B3FB1">
        <w:rPr>
          <w:rFonts w:ascii="Tahoma" w:eastAsia="Calibri" w:hAnsi="Tahoma" w:cs="Tahoma"/>
          <w:sz w:val="22"/>
          <w:szCs w:val="22"/>
        </w:rPr>
        <w:t>6</w:t>
      </w:r>
      <w:r w:rsidRPr="00A123D0">
        <w:rPr>
          <w:rFonts w:ascii="Tahoma" w:eastAsia="Calibri" w:hAnsi="Tahoma" w:cs="Tahoma"/>
          <w:sz w:val="22"/>
          <w:szCs w:val="22"/>
        </w:rPr>
        <w:t>.</w:t>
      </w:r>
      <w:r w:rsidR="00D63092" w:rsidRPr="00A123D0">
        <w:rPr>
          <w:rFonts w:ascii="Tahoma" w:eastAsia="Calibri" w:hAnsi="Tahoma" w:cs="Tahoma"/>
          <w:sz w:val="22"/>
          <w:szCs w:val="22"/>
        </w:rPr>
        <w:t xml:space="preserve"> </w:t>
      </w:r>
    </w:p>
    <w:p w14:paraId="0B6C7245" w14:textId="77777777" w:rsidR="00FD3BAF" w:rsidRPr="00A123D0" w:rsidRDefault="00FD3BAF" w:rsidP="00A123D0">
      <w:pPr>
        <w:pStyle w:val="Bezmezer"/>
        <w:rPr>
          <w:rFonts w:ascii="Tahoma" w:eastAsia="Calibri" w:hAnsi="Tahoma" w:cs="Tahoma"/>
          <w:b/>
          <w:sz w:val="22"/>
          <w:szCs w:val="22"/>
        </w:rPr>
      </w:pPr>
    </w:p>
    <w:p w14:paraId="294163B7" w14:textId="725AB4A2" w:rsidR="001A2E45" w:rsidRPr="00405DC9" w:rsidRDefault="00A246BF" w:rsidP="00807008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Jednání před konkurzní komisí se bude </w:t>
      </w:r>
      <w:r w:rsidRPr="00A246BF">
        <w:rPr>
          <w:rFonts w:ascii="Tahoma" w:eastAsia="Calibri" w:hAnsi="Tahoma" w:cs="Tahoma"/>
          <w:b/>
          <w:sz w:val="22"/>
          <w:szCs w:val="22"/>
        </w:rPr>
        <w:t>konat v úterý</w:t>
      </w:r>
      <w:r>
        <w:rPr>
          <w:rFonts w:ascii="Tahoma" w:eastAsia="Calibri" w:hAnsi="Tahoma" w:cs="Tahoma"/>
          <w:sz w:val="22"/>
          <w:szCs w:val="22"/>
        </w:rPr>
        <w:t xml:space="preserve"> </w:t>
      </w:r>
      <w:r w:rsidR="00066C4B">
        <w:rPr>
          <w:rFonts w:ascii="Tahoma" w:eastAsia="Calibri" w:hAnsi="Tahoma" w:cs="Tahoma"/>
          <w:b/>
          <w:bCs/>
          <w:sz w:val="22"/>
          <w:szCs w:val="22"/>
        </w:rPr>
        <w:t>2</w:t>
      </w:r>
      <w:r w:rsidR="00231C05">
        <w:rPr>
          <w:rFonts w:ascii="Tahoma" w:eastAsia="Calibri" w:hAnsi="Tahoma" w:cs="Tahoma"/>
          <w:b/>
          <w:bCs/>
          <w:sz w:val="22"/>
          <w:szCs w:val="22"/>
        </w:rPr>
        <w:t>2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. </w:t>
      </w:r>
      <w:r w:rsidR="00231C05">
        <w:rPr>
          <w:rFonts w:ascii="Tahoma" w:eastAsia="Calibri" w:hAnsi="Tahoma" w:cs="Tahoma"/>
          <w:b/>
          <w:bCs/>
          <w:sz w:val="22"/>
          <w:szCs w:val="22"/>
        </w:rPr>
        <w:t>září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 202</w:t>
      </w:r>
      <w:r w:rsidR="00231C05">
        <w:rPr>
          <w:rFonts w:ascii="Tahoma" w:eastAsia="Calibri" w:hAnsi="Tahoma" w:cs="Tahoma"/>
          <w:b/>
          <w:bCs/>
          <w:sz w:val="22"/>
          <w:szCs w:val="22"/>
        </w:rPr>
        <w:t>6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>
        <w:rPr>
          <w:rFonts w:ascii="Tahoma" w:eastAsia="Calibri" w:hAnsi="Tahoma" w:cs="Tahoma"/>
          <w:b/>
          <w:sz w:val="22"/>
          <w:szCs w:val="22"/>
        </w:rPr>
        <w:t>v době od 9.00 hod</w:t>
      </w:r>
      <w:r w:rsidR="00195B5E">
        <w:rPr>
          <w:rFonts w:ascii="Tahoma" w:eastAsia="Calibri" w:hAnsi="Tahoma" w:cs="Tahoma"/>
          <w:b/>
          <w:sz w:val="22"/>
          <w:szCs w:val="22"/>
        </w:rPr>
        <w:t>.</w:t>
      </w:r>
      <w:r>
        <w:rPr>
          <w:rFonts w:ascii="Tahoma" w:eastAsia="Calibri" w:hAnsi="Tahoma" w:cs="Tahoma"/>
          <w:b/>
          <w:sz w:val="22"/>
          <w:szCs w:val="22"/>
        </w:rPr>
        <w:t xml:space="preserve"> v sídle Notářské komory České republiky </w:t>
      </w:r>
      <w:r w:rsidR="00D63092" w:rsidRPr="003F4AB3">
        <w:rPr>
          <w:rFonts w:ascii="Tahoma" w:eastAsia="Calibri" w:hAnsi="Tahoma" w:cs="Tahoma"/>
          <w:bCs/>
          <w:sz w:val="22"/>
          <w:szCs w:val="22"/>
        </w:rPr>
        <w:t>(dále jen „Komora)</w:t>
      </w:r>
      <w:r w:rsidR="00D63092">
        <w:rPr>
          <w:rFonts w:ascii="Tahoma" w:eastAsia="Calibri" w:hAnsi="Tahoma" w:cs="Tahoma"/>
          <w:b/>
          <w:sz w:val="22"/>
          <w:szCs w:val="22"/>
        </w:rPr>
        <w:t xml:space="preserve"> </w:t>
      </w:r>
      <w:r>
        <w:rPr>
          <w:rFonts w:ascii="Tahoma" w:eastAsia="Calibri" w:hAnsi="Tahoma" w:cs="Tahoma"/>
          <w:b/>
          <w:sz w:val="22"/>
          <w:szCs w:val="22"/>
        </w:rPr>
        <w:t>v Praze, Apolinářská 12</w:t>
      </w:r>
      <w:r w:rsidR="00D63092">
        <w:rPr>
          <w:rFonts w:ascii="Tahoma" w:eastAsia="Calibri" w:hAnsi="Tahoma" w:cs="Tahoma"/>
          <w:b/>
          <w:sz w:val="22"/>
          <w:szCs w:val="22"/>
        </w:rPr>
        <w:t xml:space="preserve">, 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přičemž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přihlášk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a </w:t>
      </w:r>
      <w:r w:rsidR="003F4AB3">
        <w:rPr>
          <w:rFonts w:ascii="Tahoma" w:eastAsia="Calibri" w:hAnsi="Tahoma" w:cs="Tahoma"/>
          <w:b/>
          <w:bCs/>
          <w:sz w:val="22"/>
          <w:szCs w:val="22"/>
        </w:rPr>
        <w:t xml:space="preserve">do konkurzu </w:t>
      </w:r>
      <w:r w:rsidR="003F4AB3" w:rsidRPr="003F4AB3">
        <w:rPr>
          <w:rFonts w:ascii="Tahoma" w:eastAsia="Calibri" w:hAnsi="Tahoma" w:cs="Tahoma"/>
          <w:sz w:val="22"/>
          <w:szCs w:val="22"/>
        </w:rPr>
        <w:t>(dále</w:t>
      </w:r>
      <w:r w:rsidR="003F4AB3">
        <w:rPr>
          <w:rFonts w:ascii="Tahoma" w:eastAsia="Calibri" w:hAnsi="Tahoma" w:cs="Tahoma"/>
          <w:sz w:val="22"/>
          <w:szCs w:val="22"/>
        </w:rPr>
        <w:t xml:space="preserve"> jen „přihláška“) 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musí být Komoře doručena nejpozději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 xml:space="preserve">do </w:t>
      </w:r>
      <w:r w:rsidR="000B79A4">
        <w:rPr>
          <w:rFonts w:ascii="Tahoma" w:eastAsia="Calibri" w:hAnsi="Tahoma" w:cs="Tahoma"/>
          <w:b/>
          <w:bCs/>
          <w:sz w:val="22"/>
          <w:szCs w:val="22"/>
        </w:rPr>
        <w:t>2</w:t>
      </w:r>
      <w:r w:rsidR="00231C05">
        <w:rPr>
          <w:rFonts w:ascii="Tahoma" w:eastAsia="Calibri" w:hAnsi="Tahoma" w:cs="Tahoma"/>
          <w:b/>
          <w:bCs/>
          <w:sz w:val="22"/>
          <w:szCs w:val="22"/>
        </w:rPr>
        <w:t>4</w:t>
      </w:r>
      <w:r w:rsidR="00F95ABF">
        <w:rPr>
          <w:rFonts w:ascii="Tahoma" w:eastAsia="Calibri" w:hAnsi="Tahoma" w:cs="Tahoma"/>
          <w:b/>
          <w:bCs/>
          <w:sz w:val="22"/>
          <w:szCs w:val="22"/>
        </w:rPr>
        <w:t xml:space="preserve">. </w:t>
      </w:r>
      <w:r w:rsidR="00231C05">
        <w:rPr>
          <w:rFonts w:ascii="Tahoma" w:eastAsia="Calibri" w:hAnsi="Tahoma" w:cs="Tahoma"/>
          <w:b/>
          <w:bCs/>
          <w:sz w:val="22"/>
          <w:szCs w:val="22"/>
        </w:rPr>
        <w:t>srpna</w:t>
      </w:r>
      <w:r w:rsidR="00563B85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202</w:t>
      </w:r>
      <w:r w:rsidR="00231C05">
        <w:rPr>
          <w:rFonts w:ascii="Tahoma" w:eastAsia="Calibri" w:hAnsi="Tahoma" w:cs="Tahoma"/>
          <w:b/>
          <w:bCs/>
          <w:sz w:val="22"/>
          <w:szCs w:val="22"/>
        </w:rPr>
        <w:t>6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.</w:t>
      </w:r>
    </w:p>
    <w:p w14:paraId="4331139F" w14:textId="77777777" w:rsidR="00D63092" w:rsidRDefault="00D63092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FF67CE3" w14:textId="7F4FB50C" w:rsidR="00D63092" w:rsidRPr="002234D6" w:rsidRDefault="00D63092" w:rsidP="00D63092">
      <w:pPr>
        <w:pStyle w:val="Bezmezer"/>
        <w:rPr>
          <w:rFonts w:ascii="Tahoma" w:eastAsia="Calibri" w:hAnsi="Tahoma" w:cs="Tahoma"/>
          <w:i/>
          <w:iCs/>
          <w:sz w:val="22"/>
          <w:szCs w:val="22"/>
        </w:rPr>
      </w:pPr>
      <w:r w:rsidRPr="00F817B7">
        <w:rPr>
          <w:rFonts w:ascii="Tahoma" w:eastAsia="Calibri" w:hAnsi="Tahoma" w:cs="Tahoma"/>
          <w:b/>
          <w:bCs/>
          <w:sz w:val="22"/>
          <w:szCs w:val="22"/>
        </w:rPr>
        <w:t>Účastnický poplatek</w:t>
      </w:r>
      <w:r w:rsidRPr="002234D6">
        <w:rPr>
          <w:rFonts w:ascii="Tahoma" w:eastAsia="Calibri" w:hAnsi="Tahoma" w:cs="Tahoma"/>
          <w:sz w:val="22"/>
          <w:szCs w:val="22"/>
        </w:rPr>
        <w:t xml:space="preserve"> za podání přihlášky činí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12</w:t>
      </w:r>
      <w:r w:rsidR="00F817B7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>000,</w:t>
      </w:r>
      <w:r w:rsidRPr="00D86D82">
        <w:rPr>
          <w:rFonts w:ascii="Tahoma" w:eastAsia="Calibri" w:hAnsi="Tahoma" w:cs="Tahoma"/>
          <w:b/>
          <w:bCs/>
          <w:sz w:val="22"/>
          <w:szCs w:val="22"/>
        </w:rPr>
        <w:t>-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Kč </w:t>
      </w:r>
      <w:r w:rsidRPr="002234D6">
        <w:rPr>
          <w:rFonts w:ascii="Tahoma" w:eastAsia="Calibri" w:hAnsi="Tahoma" w:cs="Tahoma"/>
          <w:sz w:val="22"/>
          <w:szCs w:val="22"/>
        </w:rPr>
        <w:t>a je</w:t>
      </w:r>
      <w:r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třeba </w:t>
      </w:r>
      <w:r w:rsidR="00FD3BAF">
        <w:rPr>
          <w:rFonts w:ascii="Tahoma" w:eastAsia="Calibri" w:hAnsi="Tahoma" w:cs="Tahoma"/>
          <w:sz w:val="22"/>
          <w:szCs w:val="22"/>
        </w:rPr>
        <w:t xml:space="preserve">ho </w:t>
      </w:r>
      <w:r w:rsidRPr="002234D6">
        <w:rPr>
          <w:rFonts w:ascii="Tahoma" w:eastAsia="Calibri" w:hAnsi="Tahoma" w:cs="Tahoma"/>
          <w:sz w:val="22"/>
          <w:szCs w:val="22"/>
        </w:rPr>
        <w:t xml:space="preserve">zaplatit nejpozději </w:t>
      </w:r>
      <w:r w:rsidR="00F817B7">
        <w:rPr>
          <w:rFonts w:ascii="Tahoma" w:eastAsia="Calibri" w:hAnsi="Tahoma" w:cs="Tahoma"/>
          <w:sz w:val="22"/>
          <w:szCs w:val="22"/>
        </w:rPr>
        <w:t xml:space="preserve">v den </w:t>
      </w:r>
      <w:r w:rsidRPr="002234D6">
        <w:rPr>
          <w:rFonts w:ascii="Tahoma" w:eastAsia="Calibri" w:hAnsi="Tahoma" w:cs="Tahoma"/>
          <w:sz w:val="22"/>
          <w:szCs w:val="22"/>
        </w:rPr>
        <w:t>podání přihlášky do konkurzu</w:t>
      </w:r>
      <w:r w:rsidR="00A123D0"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na účet </w:t>
      </w:r>
      <w:r w:rsidR="00F817B7">
        <w:rPr>
          <w:rFonts w:ascii="Tahoma" w:eastAsia="Calibri" w:hAnsi="Tahoma" w:cs="Tahoma"/>
          <w:sz w:val="22"/>
          <w:szCs w:val="22"/>
        </w:rPr>
        <w:t>Komory</w:t>
      </w:r>
      <w:r w:rsidRPr="002234D6">
        <w:rPr>
          <w:rFonts w:ascii="Tahoma" w:eastAsia="Calibri" w:hAnsi="Tahoma" w:cs="Tahoma"/>
          <w:sz w:val="22"/>
          <w:szCs w:val="22"/>
        </w:rPr>
        <w:t xml:space="preserve"> u UniCredit Bank Czech Republic and Slovakia, a.</w:t>
      </w:r>
      <w:r w:rsidR="00CD7704"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s., č. </w:t>
      </w:r>
      <w:proofErr w:type="spellStart"/>
      <w:r w:rsidRPr="002234D6">
        <w:rPr>
          <w:rFonts w:ascii="Tahoma" w:eastAsia="Calibri" w:hAnsi="Tahoma" w:cs="Tahoma"/>
          <w:sz w:val="22"/>
          <w:szCs w:val="22"/>
        </w:rPr>
        <w:t>ú.</w:t>
      </w:r>
      <w:proofErr w:type="spellEnd"/>
      <w:r w:rsidRPr="002234D6">
        <w:rPr>
          <w:rFonts w:ascii="Tahoma" w:eastAsia="Calibri" w:hAnsi="Tahoma" w:cs="Tahoma"/>
          <w:sz w:val="22"/>
          <w:szCs w:val="22"/>
        </w:rPr>
        <w:t xml:space="preserve"> 45818009/2700, variabilní</w:t>
      </w:r>
      <w:r>
        <w:rPr>
          <w:rFonts w:ascii="Tahoma" w:eastAsia="Calibri" w:hAnsi="Tahoma" w:cs="Tahoma"/>
          <w:sz w:val="22"/>
          <w:szCs w:val="22"/>
        </w:rPr>
        <w:t>m</w:t>
      </w:r>
      <w:r w:rsidRPr="002234D6">
        <w:rPr>
          <w:rFonts w:ascii="Tahoma" w:eastAsia="Calibri" w:hAnsi="Tahoma" w:cs="Tahoma"/>
          <w:sz w:val="22"/>
          <w:szCs w:val="22"/>
        </w:rPr>
        <w:t xml:space="preserve"> symbol</w:t>
      </w:r>
      <w:r>
        <w:rPr>
          <w:rFonts w:ascii="Tahoma" w:eastAsia="Calibri" w:hAnsi="Tahoma" w:cs="Tahoma"/>
          <w:sz w:val="22"/>
          <w:szCs w:val="22"/>
        </w:rPr>
        <w:t xml:space="preserve">em je </w:t>
      </w:r>
      <w:r w:rsidRPr="002234D6">
        <w:rPr>
          <w:rFonts w:ascii="Tahoma" w:eastAsia="Calibri" w:hAnsi="Tahoma" w:cs="Tahoma"/>
          <w:sz w:val="22"/>
          <w:szCs w:val="22"/>
        </w:rPr>
        <w:t xml:space="preserve">rodné číslo </w:t>
      </w:r>
      <w:r w:rsidR="00BE285F">
        <w:rPr>
          <w:rFonts w:ascii="Tahoma" w:eastAsia="Calibri" w:hAnsi="Tahoma" w:cs="Tahoma"/>
          <w:sz w:val="22"/>
          <w:szCs w:val="22"/>
        </w:rPr>
        <w:t>přihlášeného do konkurzu (dále jen „uchazeč</w:t>
      </w:r>
      <w:r w:rsidR="00D53427">
        <w:rPr>
          <w:rFonts w:ascii="Tahoma" w:eastAsia="Calibri" w:hAnsi="Tahoma" w:cs="Tahoma"/>
          <w:sz w:val="22"/>
          <w:szCs w:val="22"/>
        </w:rPr>
        <w:t>“</w:t>
      </w:r>
      <w:r w:rsidR="00BE285F">
        <w:rPr>
          <w:rFonts w:ascii="Tahoma" w:eastAsia="Calibri" w:hAnsi="Tahoma" w:cs="Tahoma"/>
          <w:sz w:val="22"/>
          <w:szCs w:val="22"/>
        </w:rPr>
        <w:t>)</w:t>
      </w:r>
      <w:r w:rsidRPr="002234D6">
        <w:rPr>
          <w:rFonts w:ascii="Tahoma" w:eastAsia="Calibri" w:hAnsi="Tahoma" w:cs="Tahoma"/>
          <w:sz w:val="22"/>
          <w:szCs w:val="22"/>
        </w:rPr>
        <w:t>.</w:t>
      </w:r>
    </w:p>
    <w:p w14:paraId="1CFA6E9B" w14:textId="77777777" w:rsidR="00F817B7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5FE7531" w14:textId="38CC7CBC" w:rsidR="00F817B7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>Komora</w:t>
      </w:r>
      <w:r w:rsidRPr="002234D6">
        <w:rPr>
          <w:rFonts w:ascii="Tahoma" w:eastAsia="Calibri" w:hAnsi="Tahoma" w:cs="Tahoma"/>
          <w:sz w:val="22"/>
          <w:szCs w:val="22"/>
        </w:rPr>
        <w:t xml:space="preserve"> odešle </w:t>
      </w:r>
      <w:r w:rsidR="00BE285F">
        <w:rPr>
          <w:rFonts w:ascii="Tahoma" w:eastAsia="Calibri" w:hAnsi="Tahoma" w:cs="Tahoma"/>
          <w:sz w:val="22"/>
          <w:szCs w:val="22"/>
        </w:rPr>
        <w:t>uchazečům</w:t>
      </w:r>
      <w:r w:rsidRPr="002234D6">
        <w:rPr>
          <w:rFonts w:ascii="Tahoma" w:eastAsia="Calibri" w:hAnsi="Tahoma" w:cs="Tahoma"/>
          <w:sz w:val="22"/>
          <w:szCs w:val="22"/>
        </w:rPr>
        <w:t xml:space="preserve"> zařazeným do konkurzu nejpozději </w:t>
      </w:r>
      <w:r>
        <w:rPr>
          <w:rFonts w:ascii="Tahoma" w:eastAsia="Calibri" w:hAnsi="Tahoma" w:cs="Tahoma"/>
          <w:sz w:val="22"/>
          <w:szCs w:val="22"/>
        </w:rPr>
        <w:t>10.</w:t>
      </w:r>
      <w:r w:rsidRPr="002234D6">
        <w:rPr>
          <w:rFonts w:ascii="Tahoma" w:eastAsia="Calibri" w:hAnsi="Tahoma" w:cs="Tahoma"/>
          <w:sz w:val="22"/>
          <w:szCs w:val="22"/>
        </w:rPr>
        <w:t xml:space="preserve"> den před jednáním konkurzní komise pozvánku k jednání na adresu uvedenou v přihlášce ke konkurzu</w:t>
      </w:r>
      <w:r>
        <w:rPr>
          <w:rFonts w:ascii="Tahoma" w:eastAsia="Calibri" w:hAnsi="Tahoma" w:cs="Tahoma"/>
          <w:sz w:val="22"/>
          <w:szCs w:val="22"/>
        </w:rPr>
        <w:t>.</w:t>
      </w:r>
    </w:p>
    <w:p w14:paraId="08F34F5A" w14:textId="77777777" w:rsidR="00F817B7" w:rsidRDefault="00F817B7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10FF304D" w14:textId="6C2DD6DD" w:rsidR="002234D6" w:rsidRPr="002234D6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 xml:space="preserve">Na základě písemné žádosti uchazeče sdělí </w:t>
      </w:r>
      <w:r w:rsidR="00F817B7">
        <w:rPr>
          <w:rFonts w:ascii="Tahoma" w:eastAsia="Calibri" w:hAnsi="Tahoma" w:cs="Tahoma"/>
          <w:sz w:val="22"/>
          <w:szCs w:val="22"/>
        </w:rPr>
        <w:t>Komora</w:t>
      </w:r>
      <w:r w:rsidRPr="002234D6">
        <w:rPr>
          <w:rFonts w:ascii="Tahoma" w:eastAsia="Calibri" w:hAnsi="Tahoma" w:cs="Tahoma"/>
          <w:sz w:val="22"/>
          <w:szCs w:val="22"/>
        </w:rPr>
        <w:t xml:space="preserve"> </w:t>
      </w:r>
      <w:r w:rsidR="00F817B7">
        <w:rPr>
          <w:rFonts w:ascii="Tahoma" w:eastAsia="Calibri" w:hAnsi="Tahoma" w:cs="Tahoma"/>
          <w:sz w:val="22"/>
          <w:szCs w:val="22"/>
        </w:rPr>
        <w:t xml:space="preserve">sledované </w:t>
      </w:r>
      <w:r w:rsidRPr="002234D6">
        <w:rPr>
          <w:rFonts w:ascii="Tahoma" w:eastAsia="Calibri" w:hAnsi="Tahoma" w:cs="Tahoma"/>
          <w:sz w:val="22"/>
          <w:szCs w:val="22"/>
        </w:rPr>
        <w:t xml:space="preserve">statistické údaje o </w:t>
      </w:r>
      <w:r w:rsidR="00F817B7">
        <w:rPr>
          <w:rFonts w:ascii="Tahoma" w:eastAsia="Calibri" w:hAnsi="Tahoma" w:cs="Tahoma"/>
          <w:sz w:val="22"/>
          <w:szCs w:val="22"/>
        </w:rPr>
        <w:t xml:space="preserve">činnosti </w:t>
      </w:r>
      <w:r w:rsidRPr="002234D6">
        <w:rPr>
          <w:rFonts w:ascii="Tahoma" w:eastAsia="Calibri" w:hAnsi="Tahoma" w:cs="Tahoma"/>
          <w:sz w:val="22"/>
          <w:szCs w:val="22"/>
        </w:rPr>
        <w:t>uvolněného notářského úřadu za poslední ukončený kalendářní rok.</w:t>
      </w:r>
    </w:p>
    <w:p w14:paraId="3C9F8337" w14:textId="77777777" w:rsidR="00F817B7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B4A42E5" w14:textId="02B5A9F9" w:rsidR="00D63092" w:rsidRPr="002234D6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 xml:space="preserve">Komora </w:t>
      </w:r>
      <w:r w:rsidR="00D63092" w:rsidRPr="002234D6">
        <w:rPr>
          <w:rFonts w:ascii="Tahoma" w:eastAsia="Calibri" w:hAnsi="Tahoma" w:cs="Tahoma"/>
          <w:sz w:val="22"/>
          <w:szCs w:val="22"/>
        </w:rPr>
        <w:t>předloží na základě výsledku konkurzu ministru spravedlnosti návrh na jmenování notáře do notářského úřadu</w:t>
      </w:r>
      <w:r>
        <w:rPr>
          <w:rFonts w:ascii="Tahoma" w:eastAsia="Calibri" w:hAnsi="Tahoma" w:cs="Tahoma"/>
          <w:sz w:val="22"/>
          <w:szCs w:val="22"/>
        </w:rPr>
        <w:t xml:space="preserve"> (§ 8 odst. 1 </w:t>
      </w:r>
      <w:r w:rsidR="00FD3BAF">
        <w:rPr>
          <w:rFonts w:ascii="Tahoma" w:eastAsia="Calibri" w:hAnsi="Tahoma" w:cs="Tahoma"/>
          <w:sz w:val="22"/>
          <w:szCs w:val="22"/>
        </w:rPr>
        <w:t xml:space="preserve">a 6 </w:t>
      </w:r>
      <w:r>
        <w:rPr>
          <w:rFonts w:ascii="Tahoma" w:eastAsia="Calibri" w:hAnsi="Tahoma" w:cs="Tahoma"/>
          <w:sz w:val="22"/>
          <w:szCs w:val="22"/>
        </w:rPr>
        <w:t>notářského řádu)</w:t>
      </w:r>
      <w:r w:rsidR="00D63092" w:rsidRPr="002234D6">
        <w:rPr>
          <w:rFonts w:ascii="Tahoma" w:eastAsia="Calibri" w:hAnsi="Tahoma" w:cs="Tahoma"/>
          <w:sz w:val="22"/>
          <w:szCs w:val="22"/>
        </w:rPr>
        <w:t>.</w:t>
      </w:r>
    </w:p>
    <w:p w14:paraId="776768AB" w14:textId="77777777" w:rsidR="001A2E45" w:rsidRDefault="001A2E45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6BCE008A" w14:textId="60BAB865" w:rsidR="003F4AB3" w:rsidRPr="00DC0BC0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 xml:space="preserve">S přihláškou je třeba 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>předlož</w:t>
      </w:r>
      <w:r>
        <w:rPr>
          <w:rFonts w:ascii="Tahoma" w:eastAsia="Calibri" w:hAnsi="Tahoma" w:cs="Tahoma"/>
          <w:b/>
          <w:bCs/>
          <w:sz w:val="22"/>
          <w:szCs w:val="22"/>
        </w:rPr>
        <w:t>it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 xml:space="preserve"> t</w:t>
      </w:r>
      <w:r>
        <w:rPr>
          <w:rFonts w:ascii="Tahoma" w:eastAsia="Calibri" w:hAnsi="Tahoma" w:cs="Tahoma"/>
          <w:b/>
          <w:bCs/>
          <w:sz w:val="22"/>
          <w:szCs w:val="22"/>
        </w:rPr>
        <w:t>yto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 xml:space="preserve"> doklad</w:t>
      </w:r>
      <w:r>
        <w:rPr>
          <w:rFonts w:ascii="Tahoma" w:eastAsia="Calibri" w:hAnsi="Tahoma" w:cs="Tahoma"/>
          <w:b/>
          <w:bCs/>
          <w:sz w:val="22"/>
          <w:szCs w:val="22"/>
        </w:rPr>
        <w:t>y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>:</w:t>
      </w:r>
    </w:p>
    <w:p w14:paraId="58F79B74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státním občanství,</w:t>
      </w:r>
    </w:p>
    <w:p w14:paraId="2E138B95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prohlášení o plné svéprávnosti,</w:t>
      </w:r>
    </w:p>
    <w:p w14:paraId="3EDE8FD2" w14:textId="701D8026" w:rsidR="003F4AB3" w:rsidRPr="00DC0BC0" w:rsidRDefault="003F4AB3" w:rsidP="003F4AB3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DC0BC0">
        <w:rPr>
          <w:rFonts w:ascii="Tahoma" w:hAnsi="Tahoma" w:cs="Tahoma"/>
          <w:iCs/>
          <w:color w:val="222222"/>
          <w:sz w:val="22"/>
          <w:szCs w:val="22"/>
        </w:rPr>
        <w:t>výpis z evidence Rejstříku trestů</w:t>
      </w:r>
      <w:r>
        <w:rPr>
          <w:rFonts w:ascii="Tahoma" w:hAnsi="Tahoma" w:cs="Tahoma"/>
          <w:iCs/>
          <w:color w:val="222222"/>
          <w:sz w:val="22"/>
          <w:szCs w:val="22"/>
        </w:rPr>
        <w:t>;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je-li uchazeč občanem jiného členského státu Evropské unie, jiného státu tvořícího Evropský hospodářský prostor nebo Švýcarské konfederace, výpis z evidence trestů, anebo rovnocenný doklad vydaný příslušným soudním nebo správním orgánem tohoto státu, nebo výpis z evidence Rejstříku trestů s přílohou obsahující informace, které jsou zapsané v evidenci trestů státu, jehož je občanem; </w:t>
      </w:r>
      <w:r>
        <w:rPr>
          <w:rFonts w:ascii="Tahoma" w:hAnsi="Tahoma" w:cs="Tahoma"/>
          <w:iCs/>
          <w:color w:val="222222"/>
          <w:sz w:val="22"/>
          <w:szCs w:val="22"/>
        </w:rPr>
        <w:t>datum vydání těchto dokladů nesmí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</w:t>
      </w:r>
      <w:r>
        <w:rPr>
          <w:rFonts w:ascii="Tahoma" w:hAnsi="Tahoma" w:cs="Tahoma"/>
          <w:iCs/>
          <w:color w:val="222222"/>
          <w:sz w:val="22"/>
          <w:szCs w:val="22"/>
        </w:rPr>
        <w:t xml:space="preserve">být 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starší než </w:t>
      </w:r>
      <w:r w:rsidR="000A6786">
        <w:rPr>
          <w:rFonts w:ascii="Tahoma" w:hAnsi="Tahoma" w:cs="Tahoma"/>
          <w:iCs/>
          <w:color w:val="222222"/>
          <w:sz w:val="22"/>
          <w:szCs w:val="22"/>
        </w:rPr>
        <w:t>tři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měsíce před podáním přihlášky,</w:t>
      </w:r>
    </w:p>
    <w:p w14:paraId="7B404A12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hAnsi="Tahoma" w:cs="Tahoma"/>
          <w:iCs/>
          <w:color w:val="000000"/>
          <w:sz w:val="22"/>
          <w:szCs w:val="22"/>
        </w:rPr>
        <w:t xml:space="preserve">doklad o vzdělání </w:t>
      </w:r>
      <w:r w:rsidRPr="00A246BF">
        <w:rPr>
          <w:rFonts w:ascii="Tahoma" w:eastAsia="Calibri" w:hAnsi="Tahoma" w:cs="Tahoma"/>
          <w:sz w:val="22"/>
          <w:szCs w:val="22"/>
        </w:rPr>
        <w:t>ve smyslu § 7 odst. 1 písm. b) notářského řádu</w:t>
      </w:r>
      <w:r w:rsidRPr="00A246BF">
        <w:rPr>
          <w:rFonts w:ascii="Tahoma" w:hAnsi="Tahoma" w:cs="Tahoma"/>
          <w:iCs/>
          <w:sz w:val="22"/>
          <w:szCs w:val="22"/>
        </w:rPr>
        <w:t xml:space="preserve">, </w:t>
      </w:r>
    </w:p>
    <w:p w14:paraId="6C668C1F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složení notářské zkoušky nebo jiné zkoušky (§ 7 odst. 3 notářského řádu),</w:t>
      </w:r>
    </w:p>
    <w:p w14:paraId="351A7D92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alespoň pětiletém trvání notářské praxe nebo jiné praxe (§ 7 odst. 2 notářského řádu),</w:t>
      </w:r>
    </w:p>
    <w:p w14:paraId="54500AB4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osvědčení podle zákona č. 451/1991 Sb., kterým se stanoví některé další předpoklady pro výkon některých funkcí ve státních orgánech a organizacích České a Slovenské Federativní Republiky, České republiky a Slovenské republiky, ve znění pozdějších předpisů, jde-li o uchazeče narozeného před 1.12.1971,</w:t>
      </w:r>
    </w:p>
    <w:p w14:paraId="1DB76BDE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zaplacení účastnického poplatku.</w:t>
      </w:r>
    </w:p>
    <w:p w14:paraId="20B1DA46" w14:textId="17DA16A2" w:rsidR="003F4AB3" w:rsidRDefault="003F4AB3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24A312A1" w14:textId="77777777" w:rsidR="001437C1" w:rsidRDefault="001437C1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620F72DD" w14:textId="77777777" w:rsidR="003F4AB3" w:rsidRPr="00DC0BC0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>Podmínky pro zařazení notáře nebo notářského kandidáta do konkurzu:</w:t>
      </w:r>
    </w:p>
    <w:p w14:paraId="05B67469" w14:textId="77777777" w:rsidR="003F4AB3" w:rsidRPr="002234D6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 xml:space="preserve">Podmínkou zařazení notáře </w:t>
      </w:r>
      <w:r w:rsidRPr="002234D6">
        <w:rPr>
          <w:rFonts w:ascii="Tahoma" w:eastAsia="Calibri" w:hAnsi="Tahoma" w:cs="Tahoma"/>
          <w:bCs/>
          <w:sz w:val="22"/>
          <w:szCs w:val="22"/>
        </w:rPr>
        <w:t>se sídlem v České republice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>do konkurzu je podání přihlášky a předložení dokladu uvedeného shora pod bodem 8).</w:t>
      </w:r>
    </w:p>
    <w:p w14:paraId="439C97BE" w14:textId="32A40FF2" w:rsidR="003F4AB3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>Podmínkou zařazení notářského kandidáta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do konkurzu je podání přihlášky a předložení dokladů uvedených shora pod body 6), 7), 8) a dokladu o tom, že je zapsán v seznamu </w:t>
      </w:r>
      <w:r>
        <w:rPr>
          <w:rFonts w:ascii="Tahoma" w:eastAsia="Calibri" w:hAnsi="Tahoma" w:cs="Tahoma"/>
          <w:sz w:val="22"/>
          <w:szCs w:val="22"/>
        </w:rPr>
        <w:t xml:space="preserve">notářských </w:t>
      </w:r>
      <w:r w:rsidRPr="002234D6">
        <w:rPr>
          <w:rFonts w:ascii="Tahoma" w:eastAsia="Calibri" w:hAnsi="Tahoma" w:cs="Tahoma"/>
          <w:sz w:val="22"/>
          <w:szCs w:val="22"/>
        </w:rPr>
        <w:t xml:space="preserve">kandidátů příslušné notářské komory. </w:t>
      </w:r>
    </w:p>
    <w:p w14:paraId="54A4518C" w14:textId="429AE23D" w:rsidR="00922A15" w:rsidRPr="00922A15" w:rsidRDefault="003F4AB3" w:rsidP="005612F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922A15">
        <w:rPr>
          <w:rFonts w:ascii="Tahoma" w:eastAsia="Calibri" w:hAnsi="Tahoma" w:cs="Tahoma"/>
          <w:sz w:val="22"/>
          <w:szCs w:val="22"/>
        </w:rPr>
        <w:t xml:space="preserve">Notářský kandidát dokládá notářskou praxi </w:t>
      </w:r>
      <w:r w:rsidR="00922A15" w:rsidRPr="00922A15">
        <w:rPr>
          <w:rFonts w:ascii="Tahoma" w:hAnsi="Tahoma" w:cs="Tahoma"/>
          <w:sz w:val="22"/>
          <w:szCs w:val="22"/>
        </w:rPr>
        <w:t xml:space="preserve">potvrzením notářské komory o době zápisu v seznamech notářských koncipientů a kandidátů a potvrzením notáře o době trvání pracovního poměru, se zohledněním § 22 odst. 3 notářského řádu účinného od 1.1.2022. Nelze-li dobu trvání pracovního poměru prokázat potvrzením notáře, </w:t>
      </w:r>
      <w:r w:rsidR="000C3241">
        <w:rPr>
          <w:rFonts w:ascii="Tahoma" w:hAnsi="Tahoma" w:cs="Tahoma"/>
          <w:sz w:val="22"/>
          <w:szCs w:val="22"/>
        </w:rPr>
        <w:t>je třeba</w:t>
      </w:r>
      <w:r w:rsidR="00922A15" w:rsidRPr="00922A15">
        <w:rPr>
          <w:rFonts w:ascii="Tahoma" w:hAnsi="Tahoma" w:cs="Tahoma"/>
          <w:sz w:val="22"/>
          <w:szCs w:val="22"/>
        </w:rPr>
        <w:t xml:space="preserve"> ji prokázat jinými listinami prokazujícími trvání této doby.      </w:t>
      </w:r>
    </w:p>
    <w:p w14:paraId="7CB5F6E7" w14:textId="77777777" w:rsidR="003F4AB3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55276ADF" w14:textId="1F18AD25" w:rsidR="001A2E45" w:rsidRDefault="00FD3BAF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P</w:t>
      </w:r>
      <w:r w:rsidR="001A2E45">
        <w:rPr>
          <w:rFonts w:ascii="Tahoma" w:eastAsia="Calibri" w:hAnsi="Tahoma" w:cs="Tahoma"/>
          <w:b/>
          <w:sz w:val="22"/>
          <w:szCs w:val="22"/>
        </w:rPr>
        <w:t>ředpoklad</w:t>
      </w:r>
      <w:r>
        <w:rPr>
          <w:rFonts w:ascii="Tahoma" w:eastAsia="Calibri" w:hAnsi="Tahoma" w:cs="Tahoma"/>
          <w:b/>
          <w:sz w:val="22"/>
          <w:szCs w:val="22"/>
        </w:rPr>
        <w:t>y</w:t>
      </w:r>
      <w:r w:rsidR="001A2E45">
        <w:rPr>
          <w:rFonts w:ascii="Tahoma" w:eastAsia="Calibri" w:hAnsi="Tahoma" w:cs="Tahoma"/>
          <w:b/>
          <w:sz w:val="22"/>
          <w:szCs w:val="22"/>
        </w:rPr>
        <w:t xml:space="preserve"> pro zařazení uchazeče do konkurzu ve smyslu § 7 odst. 1 notářského řádu:</w:t>
      </w:r>
    </w:p>
    <w:p w14:paraId="6414AD31" w14:textId="305FF484" w:rsidR="001A2E45" w:rsidRPr="00FD3BAF" w:rsidRDefault="001A2E45" w:rsidP="00FD3BAF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FD3BAF">
        <w:rPr>
          <w:rFonts w:ascii="Tahoma" w:hAnsi="Tahoma" w:cs="Tahoma"/>
          <w:iCs/>
          <w:color w:val="222222"/>
          <w:sz w:val="22"/>
          <w:szCs w:val="22"/>
        </w:rPr>
        <w:lastRenderedPageBreak/>
        <w:t xml:space="preserve">státní občanství členského státu Evropské unie, jiného státu tvořícího Evropský </w:t>
      </w:r>
      <w:r w:rsidR="00FD3BAF">
        <w:rPr>
          <w:rFonts w:ascii="Tahoma" w:hAnsi="Tahoma" w:cs="Tahoma"/>
          <w:iCs/>
          <w:color w:val="222222"/>
          <w:sz w:val="22"/>
          <w:szCs w:val="22"/>
        </w:rPr>
        <w:t>ho</w:t>
      </w:r>
      <w:r w:rsidRPr="00FD3BAF">
        <w:rPr>
          <w:rFonts w:ascii="Tahoma" w:hAnsi="Tahoma" w:cs="Tahoma"/>
          <w:iCs/>
          <w:color w:val="222222"/>
          <w:sz w:val="22"/>
          <w:szCs w:val="22"/>
        </w:rPr>
        <w:t>spodářský prostor nebo Švýcarské konfederace,</w:t>
      </w:r>
    </w:p>
    <w:p w14:paraId="08452E02" w14:textId="0BDE051D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plná svéprávnost,</w:t>
      </w:r>
    </w:p>
    <w:p w14:paraId="6102CA35" w14:textId="6C343754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vysokoškolské vzdělání v oboru právo získané</w:t>
      </w:r>
      <w:r w:rsidR="00A246BF" w:rsidRPr="007E0643">
        <w:rPr>
          <w:rFonts w:ascii="Tahoma" w:hAnsi="Tahoma" w:cs="Tahoma"/>
          <w:iCs/>
          <w:sz w:val="22"/>
          <w:szCs w:val="22"/>
        </w:rPr>
        <w:t xml:space="preserve"> </w:t>
      </w:r>
    </w:p>
    <w:p w14:paraId="43143808" w14:textId="0D4F0E9D" w:rsidR="001A2E45" w:rsidRPr="007E0643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v magisterském studijním programu právo a právní věda studiem na vysoké škole v České republice, </w:t>
      </w:r>
      <w:r w:rsidR="007E0643">
        <w:rPr>
          <w:rFonts w:ascii="Tahoma" w:hAnsi="Tahoma" w:cs="Tahoma"/>
          <w:iCs/>
          <w:sz w:val="22"/>
          <w:szCs w:val="22"/>
        </w:rPr>
        <w:t xml:space="preserve">přičemž 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za </w:t>
      </w:r>
      <w:r w:rsidR="007E0643">
        <w:rPr>
          <w:rFonts w:ascii="Tahoma" w:hAnsi="Tahoma" w:cs="Tahoma"/>
          <w:iCs/>
          <w:sz w:val="22"/>
          <w:szCs w:val="22"/>
        </w:rPr>
        <w:t xml:space="preserve">takové 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vzdělání se považuje také vysokoškolské vzdělání získané před 1. </w:t>
      </w:r>
      <w:r w:rsidR="00A51A0E">
        <w:rPr>
          <w:rFonts w:ascii="Tahoma" w:hAnsi="Tahoma" w:cs="Tahoma"/>
          <w:iCs/>
          <w:sz w:val="22"/>
          <w:szCs w:val="22"/>
        </w:rPr>
        <w:t>1.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 1999 na právnické fakultě vysoké školy se sídlem v České republice nebo jejích právních předchůdců</w:t>
      </w:r>
      <w:r w:rsidR="00FD3BAF">
        <w:rPr>
          <w:rFonts w:ascii="Tahoma" w:hAnsi="Tahoma" w:cs="Tahoma"/>
          <w:iCs/>
          <w:sz w:val="22"/>
          <w:szCs w:val="22"/>
        </w:rPr>
        <w:t>,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 </w:t>
      </w:r>
      <w:r w:rsidRPr="007E0643">
        <w:rPr>
          <w:rFonts w:ascii="Tahoma" w:hAnsi="Tahoma" w:cs="Tahoma"/>
          <w:iCs/>
          <w:sz w:val="22"/>
          <w:szCs w:val="22"/>
        </w:rPr>
        <w:t>nebo</w:t>
      </w:r>
    </w:p>
    <w:p w14:paraId="79B67081" w14:textId="299D4A34" w:rsidR="001A2E45" w:rsidRPr="007E0643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studiem na vysoké škole v zahraničí, pokud je takové vzdělání v České republice uznáváno za rovnocenné vzdělání uvedenému v písm</w:t>
      </w:r>
      <w:r w:rsidR="00FD3BAF">
        <w:rPr>
          <w:rFonts w:ascii="Tahoma" w:hAnsi="Tahoma" w:cs="Tahoma"/>
          <w:iCs/>
          <w:sz w:val="22"/>
          <w:szCs w:val="22"/>
        </w:rPr>
        <w:t>enu</w:t>
      </w:r>
      <w:r w:rsidRPr="007E0643">
        <w:rPr>
          <w:rFonts w:ascii="Tahoma" w:hAnsi="Tahoma" w:cs="Tahoma"/>
          <w:iCs/>
          <w:sz w:val="22"/>
          <w:szCs w:val="22"/>
        </w:rPr>
        <w:t xml:space="preserve"> a) na základě mezinárodní smlouvy, kterou je Česká republika vázána, anebo pokud takové vzdělání bylo uznáno podle zvláštního právního předpisu, a současně takové vzdělání odpovídá obsahem a rozsahem obecnému vzdělání, které lze získat v magisterském studijním programu právo a právní věda na vysoké škole v České republice</w:t>
      </w:r>
      <w:r w:rsidR="00FD3BAF">
        <w:rPr>
          <w:rFonts w:ascii="Tahoma" w:hAnsi="Tahoma" w:cs="Tahoma"/>
          <w:iCs/>
          <w:sz w:val="22"/>
          <w:szCs w:val="22"/>
        </w:rPr>
        <w:t>,</w:t>
      </w:r>
    </w:p>
    <w:p w14:paraId="151A9AC0" w14:textId="71AFB7E5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bezúhonnost,</w:t>
      </w:r>
    </w:p>
    <w:p w14:paraId="38AF7B09" w14:textId="71F85A01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vykonání alespoň pětileté notářské praxe,</w:t>
      </w:r>
    </w:p>
    <w:p w14:paraId="3F0FE674" w14:textId="1DF19E82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složení notářské zkoušky.</w:t>
      </w:r>
    </w:p>
    <w:p w14:paraId="6008D657" w14:textId="77777777" w:rsidR="001A2E45" w:rsidRDefault="001A2E45" w:rsidP="001A2E45">
      <w:pPr>
        <w:rPr>
          <w:rFonts w:ascii="Tahoma" w:hAnsi="Tahoma" w:cs="Tahoma"/>
          <w:iCs/>
          <w:color w:val="FF0000"/>
          <w:sz w:val="22"/>
          <w:szCs w:val="22"/>
        </w:rPr>
      </w:pPr>
    </w:p>
    <w:p w14:paraId="4E13BE84" w14:textId="3734E455" w:rsidR="001A2E45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Notářská praxe </w:t>
      </w:r>
      <w:r w:rsidR="001A2E45">
        <w:rPr>
          <w:rFonts w:ascii="Tahoma" w:eastAsia="Calibri" w:hAnsi="Tahoma" w:cs="Tahoma"/>
          <w:b/>
          <w:sz w:val="22"/>
          <w:szCs w:val="22"/>
        </w:rPr>
        <w:t xml:space="preserve">ve smyslu § 7 odst. 2 notářského řádu: </w:t>
      </w:r>
    </w:p>
    <w:p w14:paraId="1C5F02D0" w14:textId="28D4A661" w:rsidR="007E0643" w:rsidRDefault="003F4AB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Notářskou praxí se rozumí p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raxe notáře, notářského kandidáta a notářského koncipienta podle notářského řádu a praxe státního notáře a notářského čekatele podle dřívějších předpisů. </w:t>
      </w:r>
    </w:p>
    <w:p w14:paraId="6640EB4D" w14:textId="1E47B253" w:rsidR="007E0643" w:rsidRDefault="001A2E45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Do notářské praxe </w:t>
      </w:r>
      <w:r w:rsidR="00F817B7">
        <w:rPr>
          <w:rFonts w:ascii="Tahoma" w:hAnsi="Tahoma" w:cs="Tahoma"/>
          <w:iCs/>
          <w:sz w:val="22"/>
          <w:szCs w:val="22"/>
        </w:rPr>
        <w:t>Komora</w:t>
      </w:r>
      <w:r w:rsidRPr="007E0643">
        <w:rPr>
          <w:rFonts w:ascii="Tahoma" w:hAnsi="Tahoma" w:cs="Tahoma"/>
          <w:iCs/>
          <w:sz w:val="22"/>
          <w:szCs w:val="22"/>
        </w:rPr>
        <w:t xml:space="preserve"> započte zcela praxi soudce, prokurátora, státního zástupce, advokáta, komerčního právníka, soudního exekutora, soudce Ústavního soudu, asistenta soudce Ústavního soudu nebo Nejvyššího soudu a Nejvyššího správního soudu, exekutorského kandidáta, justičního čekatele, </w:t>
      </w:r>
      <w:r w:rsidR="000C3241">
        <w:rPr>
          <w:rFonts w:ascii="Tahoma" w:hAnsi="Tahoma" w:cs="Tahoma"/>
          <w:iCs/>
          <w:sz w:val="22"/>
          <w:szCs w:val="22"/>
        </w:rPr>
        <w:t xml:space="preserve">justičního kandidáta, </w:t>
      </w:r>
      <w:r w:rsidRPr="007E0643">
        <w:rPr>
          <w:rFonts w:ascii="Tahoma" w:hAnsi="Tahoma" w:cs="Tahoma"/>
          <w:iCs/>
          <w:sz w:val="22"/>
          <w:szCs w:val="22"/>
        </w:rPr>
        <w:t>asistenta soudce, asistenta veřejného ochránce práv, asistenta státního zástupce, právního čekatele prokuratury, právního čekatele státního zastupitelství, advokátního koncipienta, exekutorského koncipienta nebo právního čekatele u komerčního právníka, činnost zaměstnance Ministerstva spravedlnosti, který získal vysokoškolské vzdělání v rámci magisterského studijního programu v oblasti práva na vysoké škole</w:t>
      </w:r>
      <w:r w:rsidR="00D71C69">
        <w:rPr>
          <w:rFonts w:ascii="Tahoma" w:hAnsi="Tahoma" w:cs="Tahoma"/>
          <w:iCs/>
          <w:sz w:val="22"/>
          <w:szCs w:val="22"/>
        </w:rPr>
        <w:t>,</w:t>
      </w:r>
      <w:r w:rsidRPr="007E0643">
        <w:rPr>
          <w:rFonts w:ascii="Tahoma" w:hAnsi="Tahoma" w:cs="Tahoma"/>
          <w:iCs/>
          <w:sz w:val="22"/>
          <w:szCs w:val="22"/>
        </w:rPr>
        <w:t xml:space="preserve"> a který se samostatně podílí na tvorbě návrhů obecně závazných právních předpisů</w:t>
      </w:r>
      <w:r w:rsidR="007E0643">
        <w:rPr>
          <w:rFonts w:ascii="Tahoma" w:hAnsi="Tahoma" w:cs="Tahoma"/>
          <w:iCs/>
          <w:sz w:val="22"/>
          <w:szCs w:val="22"/>
        </w:rPr>
        <w:t>.</w:t>
      </w:r>
      <w:r w:rsidRPr="007E0643">
        <w:rPr>
          <w:rFonts w:ascii="Tahoma" w:hAnsi="Tahoma" w:cs="Tahoma"/>
          <w:iCs/>
          <w:sz w:val="22"/>
          <w:szCs w:val="22"/>
        </w:rPr>
        <w:t xml:space="preserve"> </w:t>
      </w:r>
    </w:p>
    <w:p w14:paraId="6680B1E8" w14:textId="4DF6E694" w:rsidR="001A2E45" w:rsidRDefault="007E064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D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o notářské praxe </w:t>
      </w:r>
      <w:r w:rsidRPr="007E0643">
        <w:rPr>
          <w:rFonts w:ascii="Tahoma" w:hAnsi="Tahoma" w:cs="Tahoma"/>
          <w:iCs/>
          <w:sz w:val="22"/>
          <w:szCs w:val="22"/>
        </w:rPr>
        <w:t xml:space="preserve">může 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ministr spravedlnosti na návrh </w:t>
      </w:r>
      <w:r w:rsidR="00F817B7">
        <w:rPr>
          <w:rFonts w:ascii="Tahoma" w:hAnsi="Tahoma" w:cs="Tahoma"/>
          <w:iCs/>
          <w:sz w:val="22"/>
          <w:szCs w:val="22"/>
        </w:rPr>
        <w:t>Komory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 jiné právní praxe započítat nejvýše </w:t>
      </w:r>
      <w:r w:rsidR="00495127">
        <w:rPr>
          <w:rFonts w:ascii="Tahoma" w:hAnsi="Tahoma" w:cs="Tahoma"/>
          <w:iCs/>
          <w:sz w:val="22"/>
          <w:szCs w:val="22"/>
        </w:rPr>
        <w:t>dva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roky.</w:t>
      </w:r>
    </w:p>
    <w:p w14:paraId="5D0EB771" w14:textId="723CAFCF" w:rsidR="00922A15" w:rsidRPr="001425F3" w:rsidRDefault="00922A15" w:rsidP="00922A15">
      <w:pPr>
        <w:pStyle w:val="Bezmezer"/>
        <w:numPr>
          <w:ilvl w:val="0"/>
          <w:numId w:val="10"/>
        </w:numPr>
        <w:ind w:left="284" w:hanging="284"/>
        <w:rPr>
          <w:rFonts w:ascii="Tahoma" w:hAnsi="Tahoma" w:cs="Tahoma"/>
          <w:sz w:val="22"/>
          <w:szCs w:val="22"/>
        </w:rPr>
      </w:pPr>
      <w:r w:rsidRPr="001425F3">
        <w:rPr>
          <w:rFonts w:ascii="Tahoma" w:hAnsi="Tahoma" w:cs="Tahoma"/>
          <w:sz w:val="22"/>
          <w:szCs w:val="22"/>
        </w:rPr>
        <w:t xml:space="preserve">Notářská praxe </w:t>
      </w:r>
      <w:r w:rsidR="00F65CBD" w:rsidRPr="001425F3">
        <w:rPr>
          <w:rFonts w:ascii="Tahoma" w:hAnsi="Tahoma" w:cs="Tahoma"/>
          <w:sz w:val="22"/>
          <w:szCs w:val="22"/>
        </w:rPr>
        <w:t>podle bodů 2) a 3) se dokládá dokladem prokazujícím délku jiné praxe započítávané Notářskou komorou České republiky do notářské praxe, nebo potvrzením, že ministr spravedlnosti započetl do notářské praxe jinou právní praxi.</w:t>
      </w:r>
    </w:p>
    <w:p w14:paraId="7235F6F5" w14:textId="77777777" w:rsidR="001A2E45" w:rsidRDefault="001A2E45" w:rsidP="001A2E45">
      <w:pPr>
        <w:rPr>
          <w:rFonts w:ascii="Tahoma" w:hAnsi="Tahoma" w:cs="Tahoma"/>
          <w:iCs/>
          <w:sz w:val="22"/>
          <w:szCs w:val="22"/>
        </w:rPr>
      </w:pPr>
    </w:p>
    <w:p w14:paraId="77AF03B1" w14:textId="77777777" w:rsidR="000511C9" w:rsidRDefault="000511C9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1B500181" w14:textId="0BD4A448" w:rsidR="001A2E45" w:rsidRDefault="003F4AB3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Notářské zkoušky </w:t>
      </w:r>
      <w:r w:rsidR="001A2E45">
        <w:rPr>
          <w:rFonts w:ascii="Tahoma" w:eastAsia="Calibri" w:hAnsi="Tahoma" w:cs="Tahoma"/>
          <w:b/>
          <w:sz w:val="22"/>
          <w:szCs w:val="22"/>
        </w:rPr>
        <w:t>ve smyslu § 7 odst. 3 notářského řádu:</w:t>
      </w:r>
      <w:r w:rsidR="001A2E45">
        <w:rPr>
          <w:rFonts w:ascii="Tahoma" w:eastAsia="Calibri" w:hAnsi="Tahoma" w:cs="Tahoma"/>
          <w:sz w:val="22"/>
          <w:szCs w:val="22"/>
        </w:rPr>
        <w:t xml:space="preserve"> </w:t>
      </w:r>
    </w:p>
    <w:p w14:paraId="72CAA21C" w14:textId="77777777" w:rsidR="007E0643" w:rsidRDefault="001A2E45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Notářskou zkouškou se rozumí notářská zkouška podle notářského řádu a notářská zkouška podle dřívějších předpisů. </w:t>
      </w:r>
    </w:p>
    <w:p w14:paraId="675665F0" w14:textId="3CDE51D8" w:rsidR="001A2E45" w:rsidRPr="007E0643" w:rsidRDefault="00F817B7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Za notářskou zkoušku 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se považuje </w:t>
      </w:r>
      <w:r>
        <w:rPr>
          <w:rFonts w:ascii="Tahoma" w:hAnsi="Tahoma" w:cs="Tahoma"/>
          <w:iCs/>
          <w:sz w:val="22"/>
          <w:szCs w:val="22"/>
        </w:rPr>
        <w:t>také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odborn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justiční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jednotn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jednotn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a advokátní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prokurátorsk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odborn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závěrečn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právních čekatelů, advokátní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exekutorsk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a profesní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na komerčního právníka.</w:t>
      </w:r>
    </w:p>
    <w:p w14:paraId="78918B3D" w14:textId="77777777" w:rsidR="001A2E45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641C2310" w14:textId="77777777" w:rsidR="001A2E45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2B35E380" w14:textId="77777777" w:rsidR="002234D6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D6B9B2D" w14:textId="77777777" w:rsidR="001A2E45" w:rsidRDefault="001A2E45" w:rsidP="00A246BF"/>
    <w:p w14:paraId="642CE84F" w14:textId="77777777" w:rsidR="001A2E45" w:rsidRDefault="001A2E45" w:rsidP="001A2E45">
      <w:pPr>
        <w:rPr>
          <w:color w:val="222222"/>
          <w:u w:val="single"/>
        </w:rPr>
      </w:pPr>
    </w:p>
    <w:p w14:paraId="29D90C2C" w14:textId="77777777" w:rsidR="001A2E45" w:rsidRDefault="001A2E45" w:rsidP="001A2E45"/>
    <w:p w14:paraId="06B4B5ED" w14:textId="77777777" w:rsidR="001A2E45" w:rsidRDefault="001A2E45" w:rsidP="001A2E45"/>
    <w:p w14:paraId="5DB3F294" w14:textId="77777777" w:rsidR="001A2E45" w:rsidRDefault="001A2E45" w:rsidP="001A2E45"/>
    <w:p w14:paraId="5B6DFB6B" w14:textId="77777777" w:rsidR="001A2E45" w:rsidRDefault="001A2E45" w:rsidP="001A2E45"/>
    <w:p w14:paraId="2553280A" w14:textId="77777777" w:rsidR="001A2E45" w:rsidRDefault="001A2E45" w:rsidP="001A2E45"/>
    <w:p w14:paraId="0233DE41" w14:textId="77777777" w:rsidR="001A2E45" w:rsidRDefault="001A2E45" w:rsidP="001A2E45"/>
    <w:p w14:paraId="79F220C9" w14:textId="77777777" w:rsidR="00582C3B" w:rsidRDefault="00582C3B"/>
    <w:sectPr w:rsidR="00582C3B" w:rsidSect="00883D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8CB"/>
    <w:multiLevelType w:val="hybridMultilevel"/>
    <w:tmpl w:val="6F8CE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778F0"/>
    <w:multiLevelType w:val="hybridMultilevel"/>
    <w:tmpl w:val="BB0AE1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1670"/>
    <w:multiLevelType w:val="hybridMultilevel"/>
    <w:tmpl w:val="D20EF9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5DA3"/>
    <w:multiLevelType w:val="hybridMultilevel"/>
    <w:tmpl w:val="F63AB2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0E4CA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3764D"/>
    <w:multiLevelType w:val="hybridMultilevel"/>
    <w:tmpl w:val="77883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62CBC"/>
    <w:multiLevelType w:val="hybridMultilevel"/>
    <w:tmpl w:val="2D52F2DA"/>
    <w:lvl w:ilvl="0" w:tplc="0FE6554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3413C"/>
    <w:multiLevelType w:val="hybridMultilevel"/>
    <w:tmpl w:val="B2B08F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30AC6"/>
    <w:multiLevelType w:val="hybridMultilevel"/>
    <w:tmpl w:val="FACA9E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23E25"/>
    <w:multiLevelType w:val="hybridMultilevel"/>
    <w:tmpl w:val="80CEE7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C3C6C"/>
    <w:multiLevelType w:val="hybridMultilevel"/>
    <w:tmpl w:val="5F5CE1BA"/>
    <w:lvl w:ilvl="0" w:tplc="40E4C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E6B5C"/>
    <w:multiLevelType w:val="hybridMultilevel"/>
    <w:tmpl w:val="7E18C374"/>
    <w:lvl w:ilvl="0" w:tplc="EAFA4160">
      <w:start w:val="1"/>
      <w:numFmt w:val="decimal"/>
      <w:lvlText w:val="%1)"/>
      <w:lvlJc w:val="left"/>
      <w:pPr>
        <w:ind w:left="76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6530D"/>
    <w:multiLevelType w:val="hybridMultilevel"/>
    <w:tmpl w:val="9EB64FAE"/>
    <w:lvl w:ilvl="0" w:tplc="2346A9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960556">
    <w:abstractNumId w:val="11"/>
  </w:num>
  <w:num w:numId="2" w16cid:durableId="923294906">
    <w:abstractNumId w:val="0"/>
  </w:num>
  <w:num w:numId="3" w16cid:durableId="1069421225">
    <w:abstractNumId w:val="5"/>
  </w:num>
  <w:num w:numId="4" w16cid:durableId="1923367988">
    <w:abstractNumId w:val="3"/>
  </w:num>
  <w:num w:numId="5" w16cid:durableId="48966377">
    <w:abstractNumId w:val="10"/>
  </w:num>
  <w:num w:numId="6" w16cid:durableId="1840996280">
    <w:abstractNumId w:val="4"/>
  </w:num>
  <w:num w:numId="7" w16cid:durableId="1583022489">
    <w:abstractNumId w:val="9"/>
  </w:num>
  <w:num w:numId="8" w16cid:durableId="770974941">
    <w:abstractNumId w:val="8"/>
  </w:num>
  <w:num w:numId="9" w16cid:durableId="2033417181">
    <w:abstractNumId w:val="1"/>
  </w:num>
  <w:num w:numId="10" w16cid:durableId="317854426">
    <w:abstractNumId w:val="6"/>
  </w:num>
  <w:num w:numId="11" w16cid:durableId="901138649">
    <w:abstractNumId w:val="7"/>
  </w:num>
  <w:num w:numId="12" w16cid:durableId="106071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5F"/>
    <w:rsid w:val="000511C9"/>
    <w:rsid w:val="00066C4B"/>
    <w:rsid w:val="000A6786"/>
    <w:rsid w:val="000B3FB1"/>
    <w:rsid w:val="000B79A4"/>
    <w:rsid w:val="000C3241"/>
    <w:rsid w:val="001425F3"/>
    <w:rsid w:val="001437C1"/>
    <w:rsid w:val="00195B5E"/>
    <w:rsid w:val="001A2E45"/>
    <w:rsid w:val="002234D6"/>
    <w:rsid w:val="002276BB"/>
    <w:rsid w:val="00231C05"/>
    <w:rsid w:val="002E1303"/>
    <w:rsid w:val="003614D4"/>
    <w:rsid w:val="00377F9E"/>
    <w:rsid w:val="003A3EF2"/>
    <w:rsid w:val="003F4AB3"/>
    <w:rsid w:val="00405DC9"/>
    <w:rsid w:val="00495127"/>
    <w:rsid w:val="0054241C"/>
    <w:rsid w:val="00563B85"/>
    <w:rsid w:val="005734A0"/>
    <w:rsid w:val="00582C3B"/>
    <w:rsid w:val="00585303"/>
    <w:rsid w:val="005C1D1E"/>
    <w:rsid w:val="00635616"/>
    <w:rsid w:val="00674B5F"/>
    <w:rsid w:val="006C0E89"/>
    <w:rsid w:val="007B72ED"/>
    <w:rsid w:val="007E0643"/>
    <w:rsid w:val="00807008"/>
    <w:rsid w:val="00883DA2"/>
    <w:rsid w:val="008D2D80"/>
    <w:rsid w:val="00922A15"/>
    <w:rsid w:val="00A123D0"/>
    <w:rsid w:val="00A2277C"/>
    <w:rsid w:val="00A246BF"/>
    <w:rsid w:val="00A348F1"/>
    <w:rsid w:val="00A51A0E"/>
    <w:rsid w:val="00A71C44"/>
    <w:rsid w:val="00B065E0"/>
    <w:rsid w:val="00BE285F"/>
    <w:rsid w:val="00C26C7A"/>
    <w:rsid w:val="00CD7704"/>
    <w:rsid w:val="00D53427"/>
    <w:rsid w:val="00D63092"/>
    <w:rsid w:val="00D71C69"/>
    <w:rsid w:val="00D86D82"/>
    <w:rsid w:val="00DA161A"/>
    <w:rsid w:val="00DC0BC0"/>
    <w:rsid w:val="00DC0E48"/>
    <w:rsid w:val="00E213D9"/>
    <w:rsid w:val="00E34DE7"/>
    <w:rsid w:val="00F65CBD"/>
    <w:rsid w:val="00F817B7"/>
    <w:rsid w:val="00F95ABF"/>
    <w:rsid w:val="00FD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CF2"/>
  <w15:chartTrackingRefBased/>
  <w15:docId w15:val="{79A9495B-0A36-4230-A670-72011536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2E4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C3B"/>
    <w:pPr>
      <w:suppressAutoHyphens w:val="0"/>
      <w:ind w:left="720"/>
      <w:contextualSpacing/>
      <w:jc w:val="left"/>
    </w:pPr>
    <w:rPr>
      <w:sz w:val="20"/>
      <w:szCs w:val="20"/>
    </w:rPr>
  </w:style>
  <w:style w:type="paragraph" w:styleId="Bezmezer">
    <w:name w:val="No Spacing"/>
    <w:uiPriority w:val="1"/>
    <w:qFormat/>
    <w:rsid w:val="002234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957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Vejvodová</dc:creator>
  <cp:keywords/>
  <dc:description/>
  <cp:lastModifiedBy>Radka Sobelová</cp:lastModifiedBy>
  <cp:revision>3</cp:revision>
  <cp:lastPrinted>2026-05-29T10:53:00Z</cp:lastPrinted>
  <dcterms:created xsi:type="dcterms:W3CDTF">2026-05-29T10:53:00Z</dcterms:created>
  <dcterms:modified xsi:type="dcterms:W3CDTF">2026-05-29T10:53:00Z</dcterms:modified>
</cp:coreProperties>
</file>