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1C9F" w14:textId="77777777" w:rsidR="00D84911" w:rsidRDefault="00D84911" w:rsidP="00A3556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3D4FB5DC" w14:textId="77777777" w:rsidR="00A3556D" w:rsidRPr="00A3556D" w:rsidRDefault="00DD196B" w:rsidP="00A3556D">
      <w:pPr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INFORMACE PRO SUBJEKTY OSOBNÍCH ÚDAJŮ</w:t>
      </w:r>
      <w:r w:rsidR="00A3556D" w:rsidRPr="00A3556D">
        <w:rPr>
          <w:rFonts w:ascii="Garamond" w:hAnsi="Garamond"/>
          <w:b/>
          <w:sz w:val="28"/>
          <w:szCs w:val="28"/>
        </w:rPr>
        <w:t xml:space="preserve"> </w:t>
      </w:r>
    </w:p>
    <w:p w14:paraId="3600984E" w14:textId="77777777" w:rsidR="00A3556D" w:rsidRPr="00A3556D" w:rsidRDefault="00A3556D" w:rsidP="00A3556D">
      <w:pPr>
        <w:spacing w:after="0"/>
        <w:jc w:val="center"/>
        <w:rPr>
          <w:rFonts w:ascii="Garamond" w:hAnsi="Garamond"/>
          <w:sz w:val="28"/>
          <w:szCs w:val="28"/>
        </w:rPr>
      </w:pPr>
      <w:r w:rsidRPr="00A3556D">
        <w:rPr>
          <w:rFonts w:ascii="Garamond" w:hAnsi="Garamond"/>
          <w:sz w:val="28"/>
          <w:szCs w:val="28"/>
        </w:rPr>
        <w:t>dle Obecného nařízení o ochraně osobních údajů (GDPR)</w:t>
      </w:r>
    </w:p>
    <w:p w14:paraId="4FDFCAF1" w14:textId="77777777" w:rsidR="00A3556D" w:rsidRDefault="00A3556D" w:rsidP="00A3556D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A3556D">
        <w:rPr>
          <w:rFonts w:ascii="Garamond" w:hAnsi="Garamond" w:cs="Times New Roman"/>
          <w:b/>
          <w:sz w:val="28"/>
          <w:szCs w:val="28"/>
        </w:rPr>
        <w:t>(</w:t>
      </w:r>
      <w:r w:rsidRPr="000F0A68">
        <w:rPr>
          <w:rFonts w:ascii="Garamond" w:hAnsi="Garamond" w:cs="Times New Roman"/>
          <w:b/>
          <w:sz w:val="24"/>
          <w:szCs w:val="24"/>
        </w:rPr>
        <w:t>Nařízení Evropského parlamentu a Rady /EU/ 2016/679 o ochraně fyzických osob v souvislosti se zpracováním osobních údajů a o volném pohybu těchto údajů)</w:t>
      </w:r>
    </w:p>
    <w:p w14:paraId="57795AE3" w14:textId="77777777" w:rsidR="00A46F0A" w:rsidRDefault="00A46F0A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65A0A069" w14:textId="77777777" w:rsidR="00D84911" w:rsidRDefault="00D84911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E36D634" w14:textId="77777777" w:rsidR="00D84911" w:rsidRPr="000F0A68" w:rsidRDefault="00D84911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11"/>
        <w:gridCol w:w="17"/>
        <w:gridCol w:w="7000"/>
      </w:tblGrid>
      <w:tr w:rsidR="00D84911" w:rsidRPr="00D84911" w14:paraId="4BFFE540" w14:textId="77777777" w:rsidTr="00CF1C2C">
        <w:tc>
          <w:tcPr>
            <w:tcW w:w="1365" w:type="pct"/>
            <w:gridSpan w:val="2"/>
            <w:vAlign w:val="center"/>
          </w:tcPr>
          <w:p w14:paraId="78C45E9B" w14:textId="77777777" w:rsidR="00D84911" w:rsidRPr="00D84911" w:rsidRDefault="00D84911" w:rsidP="000A5A6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Identifikační údaje správce osobních údajů</w:t>
            </w:r>
          </w:p>
        </w:tc>
        <w:tc>
          <w:tcPr>
            <w:tcW w:w="3635" w:type="pct"/>
            <w:tcBorders>
              <w:bottom w:val="single" w:sz="4" w:space="0" w:color="auto"/>
            </w:tcBorders>
          </w:tcPr>
          <w:p w14:paraId="206E58B8" w14:textId="77777777" w:rsidR="00D84911" w:rsidRPr="00D84911" w:rsidRDefault="00D84911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Okresní soud v </w:t>
            </w:r>
            <w:r w:rsidR="00A61B74">
              <w:rPr>
                <w:rFonts w:ascii="Garamond" w:hAnsi="Garamond"/>
                <w:b/>
                <w:sz w:val="24"/>
                <w:szCs w:val="24"/>
              </w:rPr>
              <w:t>Karviné</w:t>
            </w:r>
          </w:p>
          <w:p w14:paraId="444E60C9" w14:textId="77777777" w:rsidR="00D84911" w:rsidRPr="00D84911" w:rsidRDefault="00A61B74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park Bedřicha Smetany 176/5, 733 01 Karviná - Fryštát</w:t>
            </w:r>
          </w:p>
          <w:p w14:paraId="0DE3E5F9" w14:textId="77777777" w:rsidR="00D84911" w:rsidRPr="00D84911" w:rsidRDefault="00A61B74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IČO:  00025224</w:t>
            </w:r>
          </w:p>
          <w:p w14:paraId="7AFA4AF5" w14:textId="77777777" w:rsidR="00D84911" w:rsidRPr="00D84911" w:rsidRDefault="00D84911" w:rsidP="000A5A6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Tel.: </w:t>
            </w:r>
            <w:r w:rsidRPr="00D84911">
              <w:rPr>
                <w:rStyle w:val="Siln"/>
                <w:rFonts w:ascii="Garamond" w:hAnsi="Garamond" w:cs="Arial"/>
                <w:b w:val="0"/>
                <w:sz w:val="24"/>
                <w:szCs w:val="24"/>
              </w:rPr>
              <w:t>+ 420</w:t>
            </w: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 xml:space="preserve"> </w:t>
            </w:r>
            <w:r w:rsidRPr="00D84911">
              <w:rPr>
                <w:rFonts w:ascii="Garamond" w:hAnsi="Garamond" w:cs="Arial"/>
                <w:sz w:val="24"/>
                <w:szCs w:val="24"/>
              </w:rPr>
              <w:t>596</w:t>
            </w:r>
            <w:r w:rsidR="00A61B74">
              <w:rPr>
                <w:rFonts w:ascii="Garamond" w:hAnsi="Garamond" w:cs="Arial"/>
                <w:sz w:val="24"/>
                <w:szCs w:val="24"/>
              </w:rPr>
              <w:t> 390 111</w:t>
            </w:r>
          </w:p>
          <w:p w14:paraId="6F1AA079" w14:textId="77777777" w:rsidR="00D84911" w:rsidRPr="00D84911" w:rsidRDefault="00D84911" w:rsidP="000A5A6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Fax: </w:t>
            </w:r>
            <w:r w:rsidRPr="00D84911">
              <w:rPr>
                <w:rStyle w:val="Siln"/>
                <w:rFonts w:ascii="Garamond" w:hAnsi="Garamond" w:cs="Arial"/>
                <w:b w:val="0"/>
                <w:sz w:val="24"/>
                <w:szCs w:val="24"/>
              </w:rPr>
              <w:t>+ 420</w:t>
            </w: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 xml:space="preserve"> </w:t>
            </w:r>
            <w:r w:rsidRPr="00D84911">
              <w:rPr>
                <w:rFonts w:ascii="Garamond" w:hAnsi="Garamond" w:cs="Arial"/>
                <w:sz w:val="24"/>
                <w:szCs w:val="24"/>
              </w:rPr>
              <w:t>596</w:t>
            </w:r>
            <w:r w:rsidR="00A61B74">
              <w:rPr>
                <w:rFonts w:ascii="Garamond" w:hAnsi="Garamond" w:cs="Arial"/>
                <w:sz w:val="24"/>
                <w:szCs w:val="24"/>
              </w:rPr>
              <w:t> 312 491</w:t>
            </w:r>
          </w:p>
          <w:p w14:paraId="6B8B2B61" w14:textId="77777777" w:rsidR="00A61B74" w:rsidRPr="00B40D3B" w:rsidRDefault="00D84911" w:rsidP="00A61B74">
            <w:pPr>
              <w:jc w:val="both"/>
              <w:rPr>
                <w:rStyle w:val="Siln"/>
                <w:rFonts w:ascii="Garamond" w:hAnsi="Garamond"/>
                <w:b w:val="0"/>
                <w:color w:val="030303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ID datové schránky: </w:t>
            </w:r>
            <w:proofErr w:type="spellStart"/>
            <w:r w:rsidR="00A61B74" w:rsidRPr="00B40D3B">
              <w:rPr>
                <w:rStyle w:val="Siln"/>
                <w:rFonts w:ascii="Garamond" w:hAnsi="Garamond"/>
                <w:b w:val="0"/>
                <w:color w:val="030303"/>
                <w:sz w:val="24"/>
                <w:szCs w:val="24"/>
              </w:rPr>
              <w:t>whtabfc</w:t>
            </w:r>
            <w:proofErr w:type="spellEnd"/>
          </w:p>
          <w:p w14:paraId="232117C6" w14:textId="77777777" w:rsidR="00D84911" w:rsidRDefault="00D84911" w:rsidP="00A61B74">
            <w:pPr>
              <w:jc w:val="both"/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E-mail: </w:t>
            </w:r>
            <w:hyperlink r:id="rId7" w:history="1">
              <w:r w:rsidR="00A61B74" w:rsidRPr="007A5BA2">
                <w:rPr>
                  <w:rStyle w:val="Hypertextovodkaz"/>
                  <w:rFonts w:ascii="Garamond" w:hAnsi="Garamond" w:cs="Arial"/>
                  <w:sz w:val="24"/>
                  <w:szCs w:val="24"/>
                </w:rPr>
                <w:t>podatelna@osoud.kna.justice.cz</w:t>
              </w:r>
            </w:hyperlink>
          </w:p>
          <w:p w14:paraId="3FF9359D" w14:textId="77777777" w:rsidR="00264286" w:rsidRDefault="00264286" w:rsidP="00A61B74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Kontaktní osoba: Ing. Lucie </w:t>
            </w:r>
            <w:r w:rsidRPr="00264286">
              <w:rPr>
                <w:rFonts w:ascii="Garamond" w:hAnsi="Garamond"/>
                <w:sz w:val="24"/>
                <w:szCs w:val="24"/>
              </w:rPr>
              <w:t>Siudová</w:t>
            </w:r>
          </w:p>
          <w:p w14:paraId="550C17F5" w14:textId="7130D46E" w:rsidR="00264286" w:rsidRPr="00D84911" w:rsidRDefault="00264286" w:rsidP="00A61B74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tel. 596390417, email: lsiudova@osoud.kna.justice.cz</w:t>
            </w:r>
          </w:p>
        </w:tc>
      </w:tr>
      <w:tr w:rsidR="00D84911" w:rsidRPr="00D84911" w14:paraId="03DDB993" w14:textId="77777777" w:rsidTr="00DD196B">
        <w:tc>
          <w:tcPr>
            <w:tcW w:w="1365" w:type="pct"/>
            <w:gridSpan w:val="2"/>
            <w:vAlign w:val="center"/>
          </w:tcPr>
          <w:p w14:paraId="330A9A86" w14:textId="77777777" w:rsidR="00CA575F" w:rsidRPr="00D84911" w:rsidRDefault="00A61B74" w:rsidP="00A3556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Okresní soud v Karviné – členění, místa zpracování osobních údajů</w:t>
            </w:r>
          </w:p>
        </w:tc>
        <w:tc>
          <w:tcPr>
            <w:tcW w:w="3635" w:type="pct"/>
          </w:tcPr>
          <w:p w14:paraId="38D6CB17" w14:textId="77777777" w:rsidR="00957A49" w:rsidRDefault="00651AE1" w:rsidP="00D849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Okresní soud v Karviné, </w:t>
            </w:r>
            <w:r>
              <w:rPr>
                <w:rFonts w:ascii="Garamond" w:hAnsi="Garamond"/>
                <w:sz w:val="24"/>
                <w:szCs w:val="24"/>
              </w:rPr>
              <w:t xml:space="preserve">sídlo: </w:t>
            </w:r>
            <w:r w:rsidR="00CF1C2C" w:rsidRPr="00651AE1">
              <w:rPr>
                <w:rFonts w:ascii="Garamond" w:hAnsi="Garamond"/>
                <w:sz w:val="24"/>
                <w:szCs w:val="24"/>
              </w:rPr>
              <w:t>park Bedřicha Smetany 176/5, 733 01 Karviná – Fryštát</w:t>
            </w:r>
            <w:r w:rsidR="00CF1C2C">
              <w:rPr>
                <w:rFonts w:ascii="Garamond" w:hAnsi="Garamond"/>
                <w:sz w:val="24"/>
                <w:szCs w:val="24"/>
              </w:rPr>
              <w:t xml:space="preserve">, hlavní sídlo </w:t>
            </w:r>
            <w:r>
              <w:rPr>
                <w:rFonts w:ascii="Garamond" w:hAnsi="Garamond"/>
                <w:sz w:val="24"/>
                <w:szCs w:val="24"/>
              </w:rPr>
              <w:t>o</w:t>
            </w:r>
            <w:r w:rsidR="00CF1C2C">
              <w:rPr>
                <w:rFonts w:ascii="Garamond" w:hAnsi="Garamond"/>
                <w:sz w:val="24"/>
                <w:szCs w:val="24"/>
              </w:rPr>
              <w:t xml:space="preserve">kresního soudu </w:t>
            </w:r>
          </w:p>
          <w:p w14:paraId="233A04FA" w14:textId="77777777" w:rsidR="00CF1C2C" w:rsidRPr="00CF1C2C" w:rsidRDefault="00651AE1" w:rsidP="00651AE1">
            <w:pPr>
              <w:pBdr>
                <w:top w:val="single" w:sz="4" w:space="1" w:color="auto"/>
              </w:pBd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Okresní</w:t>
            </w:r>
            <w:r w:rsidR="00CF1C2C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soud</w:t>
            </w:r>
            <w:r w:rsidR="00CF1C2C">
              <w:rPr>
                <w:rFonts w:ascii="Garamond" w:hAnsi="Garamond"/>
                <w:b/>
                <w:sz w:val="24"/>
                <w:szCs w:val="24"/>
              </w:rPr>
              <w:t xml:space="preserve"> v</w:t>
            </w:r>
            <w:r>
              <w:rPr>
                <w:rFonts w:ascii="Garamond" w:hAnsi="Garamond"/>
                <w:b/>
                <w:sz w:val="24"/>
                <w:szCs w:val="24"/>
              </w:rPr>
              <w:t> </w:t>
            </w:r>
            <w:r w:rsidR="00CF1C2C">
              <w:rPr>
                <w:rFonts w:ascii="Garamond" w:hAnsi="Garamond"/>
                <w:b/>
                <w:sz w:val="24"/>
                <w:szCs w:val="24"/>
              </w:rPr>
              <w:t>Karviné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- pobočka v Havířově</w:t>
            </w:r>
            <w:r w:rsidR="00CF1C2C">
              <w:rPr>
                <w:rFonts w:ascii="Garamond" w:hAnsi="Garamond"/>
                <w:sz w:val="24"/>
                <w:szCs w:val="24"/>
              </w:rPr>
              <w:t xml:space="preserve">, sídlo: </w:t>
            </w:r>
            <w:r w:rsidR="00CF1C2C" w:rsidRPr="00CF1C2C">
              <w:rPr>
                <w:rFonts w:ascii="Garamond" w:hAnsi="Garamond" w:cs="Arial"/>
                <w:color w:val="030303"/>
                <w:sz w:val="24"/>
                <w:szCs w:val="24"/>
              </w:rPr>
              <w:t>Dlouhá třída 1647/46a</w:t>
            </w:r>
            <w:r w:rsidR="00CF1C2C">
              <w:rPr>
                <w:rFonts w:ascii="Garamond" w:hAnsi="Garamond" w:cs="Arial"/>
                <w:color w:val="030303"/>
                <w:sz w:val="24"/>
                <w:szCs w:val="24"/>
              </w:rPr>
              <w:t xml:space="preserve">, </w:t>
            </w:r>
            <w:r>
              <w:rPr>
                <w:rFonts w:ascii="Garamond" w:hAnsi="Garamond" w:cs="Arial"/>
                <w:color w:val="030303"/>
                <w:sz w:val="24"/>
                <w:szCs w:val="24"/>
              </w:rPr>
              <w:t>736 01 Havířov - Podlesí</w:t>
            </w:r>
          </w:p>
        </w:tc>
      </w:tr>
      <w:tr w:rsidR="00D84911" w:rsidRPr="00D84911" w14:paraId="4652BCF7" w14:textId="77777777" w:rsidTr="00DD196B">
        <w:tc>
          <w:tcPr>
            <w:tcW w:w="1356" w:type="pct"/>
            <w:vAlign w:val="center"/>
          </w:tcPr>
          <w:p w14:paraId="6C24EC34" w14:textId="77777777" w:rsidR="00E45AF1" w:rsidRPr="00D84911" w:rsidRDefault="00E86D24" w:rsidP="00230AD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Jak uplatnit žádosti a dotazy zasílané správci osobních údajů</w:t>
            </w:r>
          </w:p>
        </w:tc>
        <w:tc>
          <w:tcPr>
            <w:tcW w:w="3644" w:type="pct"/>
            <w:gridSpan w:val="2"/>
          </w:tcPr>
          <w:p w14:paraId="5F8682BF" w14:textId="77777777" w:rsidR="00E45AF1" w:rsidRPr="00D84911" w:rsidRDefault="00CF1C2C" w:rsidP="00CF1C2C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Ž</w:t>
            </w:r>
            <w:r w:rsidR="00E86D24" w:rsidRPr="00D84911">
              <w:rPr>
                <w:rFonts w:ascii="Garamond" w:eastAsia="Times New Roman" w:hAnsi="Garamond"/>
                <w:sz w:val="24"/>
                <w:szCs w:val="24"/>
              </w:rPr>
              <w:t>ádosti</w:t>
            </w:r>
            <w:r w:rsidR="00471821" w:rsidRPr="00D84911">
              <w:rPr>
                <w:rFonts w:ascii="Garamond" w:eastAsia="Times New Roman" w:hAnsi="Garamond"/>
                <w:sz w:val="24"/>
                <w:szCs w:val="24"/>
              </w:rPr>
              <w:t xml:space="preserve"> a dotazy zasílejte </w:t>
            </w:r>
            <w:r>
              <w:rPr>
                <w:rFonts w:ascii="Garamond" w:eastAsia="Times New Roman" w:hAnsi="Garamond"/>
                <w:sz w:val="24"/>
                <w:szCs w:val="24"/>
              </w:rPr>
              <w:t>na uvedené kontakty</w:t>
            </w:r>
            <w:r w:rsidR="00E86D24" w:rsidRPr="00D84911">
              <w:rPr>
                <w:rFonts w:ascii="Garamond" w:eastAsia="Times New Roman" w:hAnsi="Garamond"/>
                <w:sz w:val="24"/>
                <w:szCs w:val="24"/>
              </w:rPr>
              <w:t xml:space="preserve">. Po posouzení důvodnosti žádosti budete do 30 dnů ode dne obdržení žádosti informováni o způsobu vyřízení a přijatých opatření. </w:t>
            </w:r>
            <w:r w:rsidR="00E86D24" w:rsidRPr="00D84911">
              <w:rPr>
                <w:rFonts w:ascii="Garamond" w:hAnsi="Garamond"/>
                <w:bCs/>
                <w:sz w:val="24"/>
                <w:szCs w:val="24"/>
              </w:rPr>
              <w:t>Tuto lhůtu je možné v případě potřeby a s ohledem na složitost a počet žádostí prodloužit o další dva měsíce</w:t>
            </w:r>
            <w:r w:rsidR="00E86D24" w:rsidRPr="00D849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84911" w:rsidRPr="00D84911" w14:paraId="042EE305" w14:textId="77777777" w:rsidTr="00F2610F">
        <w:tc>
          <w:tcPr>
            <w:tcW w:w="1356" w:type="pct"/>
            <w:vAlign w:val="center"/>
          </w:tcPr>
          <w:p w14:paraId="6F2838ED" w14:textId="77777777" w:rsidR="00957A49" w:rsidRPr="00D84911" w:rsidRDefault="00957A49" w:rsidP="00230AD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Identifikační údaje pověřence pro ochranu osobních údajů</w:t>
            </w:r>
          </w:p>
        </w:tc>
        <w:tc>
          <w:tcPr>
            <w:tcW w:w="3644" w:type="pct"/>
            <w:gridSpan w:val="2"/>
          </w:tcPr>
          <w:p w14:paraId="751CDD32" w14:textId="77777777" w:rsidR="00957A49" w:rsidRPr="00D84911" w:rsidRDefault="00F2610F" w:rsidP="00230AD2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Mgr. Jan </w:t>
            </w:r>
            <w:r w:rsidR="00957A49" w:rsidRPr="00D84911">
              <w:rPr>
                <w:rFonts w:ascii="Garamond" w:hAnsi="Garamond"/>
                <w:b/>
                <w:sz w:val="24"/>
                <w:szCs w:val="24"/>
              </w:rPr>
              <w:t>Panoš</w:t>
            </w:r>
            <w:r w:rsidRPr="00D84911">
              <w:rPr>
                <w:rFonts w:ascii="Garamond" w:hAnsi="Garamond"/>
                <w:b/>
                <w:sz w:val="24"/>
                <w:szCs w:val="24"/>
              </w:rPr>
              <w:t>, pověřený výkonem funkce pověřence pro ochranu osobních údajů</w:t>
            </w:r>
          </w:p>
          <w:p w14:paraId="6F5EC62A" w14:textId="77777777" w:rsidR="00471821" w:rsidRPr="00D84911" w:rsidRDefault="00471821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Adresa:    </w:t>
            </w:r>
            <w:r w:rsidRPr="00D84911">
              <w:rPr>
                <w:rFonts w:ascii="Garamond" w:hAnsi="Garamond"/>
                <w:sz w:val="24"/>
                <w:szCs w:val="24"/>
              </w:rPr>
              <w:t>Ministerstvo spravedlnosti ČR</w:t>
            </w: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21E534F7" w14:textId="77777777" w:rsidR="00471821" w:rsidRPr="00D84911" w:rsidRDefault="00471821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                </w:t>
            </w:r>
            <w:r w:rsidRPr="00D84911">
              <w:rPr>
                <w:rFonts w:ascii="Garamond" w:hAnsi="Garamond"/>
                <w:sz w:val="24"/>
                <w:szCs w:val="24"/>
              </w:rPr>
              <w:t xml:space="preserve">Vyšehradská 16 </w:t>
            </w:r>
          </w:p>
          <w:p w14:paraId="712DBD5F" w14:textId="77777777" w:rsidR="00471821" w:rsidRPr="00D84911" w:rsidRDefault="00471821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                </w:t>
            </w:r>
            <w:r w:rsidRPr="00D84911">
              <w:rPr>
                <w:rFonts w:ascii="Garamond" w:hAnsi="Garamond"/>
                <w:sz w:val="24"/>
                <w:szCs w:val="24"/>
              </w:rPr>
              <w:t xml:space="preserve">128 10 Praha 2 </w:t>
            </w:r>
          </w:p>
          <w:p w14:paraId="02C6D6F5" w14:textId="77777777" w:rsidR="00957A49" w:rsidRPr="00D84911" w:rsidRDefault="00957A49" w:rsidP="00230AD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Tel.:</w:t>
            </w:r>
            <w:r w:rsidRPr="00D8491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2610F" w:rsidRPr="00D84911">
              <w:rPr>
                <w:rFonts w:ascii="Garamond" w:hAnsi="Garamond"/>
                <w:sz w:val="24"/>
                <w:szCs w:val="24"/>
              </w:rPr>
              <w:t xml:space="preserve">+420 </w:t>
            </w:r>
            <w:r w:rsidRPr="00D84911">
              <w:rPr>
                <w:rFonts w:ascii="Garamond" w:hAnsi="Garamond"/>
                <w:sz w:val="24"/>
                <w:szCs w:val="24"/>
              </w:rPr>
              <w:t>221</w:t>
            </w:r>
            <w:r w:rsidR="00F2610F" w:rsidRPr="00D84911">
              <w:rPr>
                <w:rFonts w:ascii="Garamond" w:hAnsi="Garamond"/>
                <w:sz w:val="24"/>
                <w:szCs w:val="24"/>
              </w:rPr>
              <w:t> </w:t>
            </w:r>
            <w:r w:rsidRPr="00D84911">
              <w:rPr>
                <w:rFonts w:ascii="Garamond" w:hAnsi="Garamond"/>
                <w:sz w:val="24"/>
                <w:szCs w:val="24"/>
              </w:rPr>
              <w:t>997</w:t>
            </w:r>
            <w:r w:rsidR="00F2610F" w:rsidRPr="00D84911">
              <w:rPr>
                <w:rFonts w:ascii="Garamond" w:hAnsi="Garamond"/>
                <w:sz w:val="24"/>
                <w:szCs w:val="24"/>
              </w:rPr>
              <w:t xml:space="preserve"> 476</w:t>
            </w:r>
          </w:p>
          <w:p w14:paraId="213128C8" w14:textId="77777777" w:rsidR="00F2610F" w:rsidRPr="00D84911" w:rsidRDefault="00957A49" w:rsidP="00230AD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E-mail:</w:t>
            </w:r>
            <w:r w:rsidRPr="00D84911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8" w:history="1">
              <w:r w:rsidR="00F2610F" w:rsidRPr="00D84911">
                <w:rPr>
                  <w:rStyle w:val="Hypertextovodkaz"/>
                  <w:rFonts w:ascii="Garamond" w:hAnsi="Garamond"/>
                  <w:color w:val="auto"/>
                  <w:sz w:val="24"/>
                  <w:szCs w:val="24"/>
                </w:rPr>
                <w:t>jpanos@msp.justice.cz</w:t>
              </w:r>
            </w:hyperlink>
            <w:r w:rsidR="00886B65" w:rsidRPr="00D84911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5F647D6" w14:textId="77777777" w:rsidR="00F2610F" w:rsidRPr="00D84911" w:rsidRDefault="00471821" w:rsidP="00F2610F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WWW:  </w:t>
            </w:r>
            <w:r w:rsidR="00F2610F" w:rsidRPr="00D84911">
              <w:rPr>
                <w:rFonts w:ascii="Garamond" w:hAnsi="Garamond"/>
                <w:sz w:val="24"/>
                <w:szCs w:val="24"/>
              </w:rPr>
              <w:t>www.justice.cz</w:t>
            </w:r>
            <w:proofErr w:type="gramEnd"/>
          </w:p>
        </w:tc>
      </w:tr>
    </w:tbl>
    <w:p w14:paraId="15C7D71D" w14:textId="77777777" w:rsidR="00A46F0A" w:rsidRDefault="00A46F0A"/>
    <w:p w14:paraId="2E943207" w14:textId="77777777" w:rsidR="00266324" w:rsidRDefault="00266324"/>
    <w:p w14:paraId="064FFCC1" w14:textId="77777777" w:rsidR="00D84911" w:rsidRDefault="00D84911"/>
    <w:p w14:paraId="45A03328" w14:textId="77777777" w:rsidR="00D84911" w:rsidRDefault="00D84911"/>
    <w:p w14:paraId="2DD76478" w14:textId="77777777" w:rsidR="00FD29B2" w:rsidRDefault="00FD29B2"/>
    <w:p w14:paraId="3B360864" w14:textId="77777777" w:rsidR="00FD29B2" w:rsidRDefault="00FD29B2"/>
    <w:p w14:paraId="22ECB208" w14:textId="77777777" w:rsidR="00D84911" w:rsidRDefault="00D84911"/>
    <w:p w14:paraId="6D769E3E" w14:textId="77777777" w:rsidR="00651AE1" w:rsidRDefault="00651AE1"/>
    <w:p w14:paraId="7AA19958" w14:textId="77777777" w:rsidR="00651AE1" w:rsidRDefault="00651AE1"/>
    <w:p w14:paraId="2484C9AB" w14:textId="77777777" w:rsidR="00266324" w:rsidRDefault="00266324"/>
    <w:tbl>
      <w:tblPr>
        <w:tblStyle w:val="Mkatabulky"/>
        <w:tblW w:w="4957" w:type="pct"/>
        <w:tblLayout w:type="fixed"/>
        <w:tblLook w:val="04A0" w:firstRow="1" w:lastRow="0" w:firstColumn="1" w:lastColumn="0" w:noHBand="0" w:noVBand="1"/>
      </w:tblPr>
      <w:tblGrid>
        <w:gridCol w:w="2612"/>
        <w:gridCol w:w="6933"/>
      </w:tblGrid>
      <w:tr w:rsidR="005D279E" w:rsidRPr="00957A49" w14:paraId="57FC89BB" w14:textId="77777777" w:rsidTr="005D279E">
        <w:trPr>
          <w:trHeight w:hRule="exact" w:val="567"/>
        </w:trPr>
        <w:tc>
          <w:tcPr>
            <w:tcW w:w="5000" w:type="pct"/>
            <w:gridSpan w:val="2"/>
            <w:vAlign w:val="center"/>
          </w:tcPr>
          <w:p w14:paraId="153972F9" w14:textId="77777777" w:rsidR="005D279E" w:rsidRPr="005D279E" w:rsidRDefault="005D279E" w:rsidP="001C1045">
            <w:pPr>
              <w:shd w:val="clear" w:color="auto" w:fill="FFFFFF"/>
              <w:jc w:val="both"/>
              <w:rPr>
                <w:rFonts w:ascii="Garamond" w:eastAsia="Times New Roman" w:hAnsi="Garamond"/>
                <w:bCs/>
                <w:color w:val="222222"/>
                <w:kern w:val="2"/>
                <w:sz w:val="28"/>
                <w:szCs w:val="28"/>
                <w:lang w:val="en"/>
              </w:rPr>
            </w:pPr>
            <w:r w:rsidRPr="005D279E">
              <w:rPr>
                <w:rFonts w:ascii="Garamond" w:hAnsi="Garamond"/>
                <w:b/>
                <w:sz w:val="28"/>
                <w:szCs w:val="28"/>
              </w:rPr>
              <w:t>Účely zpracování osobních údajů</w:t>
            </w:r>
          </w:p>
        </w:tc>
      </w:tr>
      <w:tr w:rsidR="00DD196B" w:rsidRPr="00957A49" w14:paraId="441283B3" w14:textId="77777777" w:rsidTr="00A46F0A">
        <w:tc>
          <w:tcPr>
            <w:tcW w:w="1368" w:type="pct"/>
            <w:vAlign w:val="center"/>
          </w:tcPr>
          <w:p w14:paraId="0E3CAB85" w14:textId="77777777" w:rsid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88CC5F6" w14:textId="77777777" w:rsid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VÝKON SOUDNICTVÍ A SOUVISEJÍCÍ POVINNOSTI</w:t>
            </w:r>
          </w:p>
          <w:p w14:paraId="5B93547E" w14:textId="77777777" w:rsidR="001C1045" w:rsidRPr="00A3556D" w:rsidRDefault="001C1045" w:rsidP="001C1045">
            <w:pPr>
              <w:spacing w:before="161" w:after="161"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32" w:type="pct"/>
          </w:tcPr>
          <w:p w14:paraId="3E1D55B7" w14:textId="77777777" w:rsidR="005D279E" w:rsidRDefault="005D279E" w:rsidP="001C1045">
            <w:pPr>
              <w:shd w:val="clear" w:color="auto" w:fill="FFFFFF"/>
              <w:jc w:val="both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Soudy pro výkon soudnictví a dalších jim zákonem svěřených pravomocí zpracovávají osobní údaje výlučně za účelem plnění právních povinností a výkonu veřejné moci.</w:t>
            </w:r>
          </w:p>
          <w:p w14:paraId="066E358F" w14:textId="77777777" w:rsidR="005D279E" w:rsidRPr="001C1045" w:rsidRDefault="005D279E" w:rsidP="001C1045">
            <w:pPr>
              <w:shd w:val="clear" w:color="auto" w:fill="FFFFFF"/>
              <w:jc w:val="both"/>
              <w:rPr>
                <w:rFonts w:ascii="Garamond" w:eastAsia="Calibri" w:hAnsi="Garamond"/>
                <w:sz w:val="24"/>
                <w:szCs w:val="24"/>
              </w:rPr>
            </w:pPr>
          </w:p>
          <w:p w14:paraId="4D096DE3" w14:textId="77777777"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>Podle</w:t>
            </w:r>
            <w:proofErr w:type="spellEnd"/>
            <w:r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>ust</w:t>
            </w:r>
            <w:proofErr w:type="spellEnd"/>
            <w:r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>.</w:t>
            </w:r>
            <w:r w:rsidRPr="001C1045"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 xml:space="preserve"> § 2 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zákona č. 6/2002 Sb., o soudech a soudcích, ve znění pozdějších předpisů soudy: </w:t>
            </w:r>
          </w:p>
          <w:p w14:paraId="7DC98D7B" w14:textId="77777777" w:rsidR="001C1045" w:rsidRPr="001C1045" w:rsidRDefault="001C1045" w:rsidP="00266324">
            <w:pPr>
              <w:pStyle w:val="Zkladntext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1C1045">
              <w:rPr>
                <w:rStyle w:val="Promnn"/>
                <w:rFonts w:ascii="Garamond" w:hAnsi="Garamond"/>
                <w:sz w:val="24"/>
                <w:szCs w:val="24"/>
              </w:rPr>
              <w:t>-</w:t>
            </w:r>
            <w:r w:rsidRPr="001C1045">
              <w:rPr>
                <w:rFonts w:ascii="Garamond" w:hAnsi="Garamond"/>
                <w:sz w:val="24"/>
                <w:szCs w:val="24"/>
              </w:rPr>
              <w:t xml:space="preserve"> projednávají a rozhodují spory a jiné věci patřící do jejich pravomoci podle zákonů o občanském soudním řízení,</w:t>
            </w:r>
          </w:p>
          <w:p w14:paraId="384596BA" w14:textId="77777777" w:rsidR="001C1045" w:rsidRPr="001C1045" w:rsidRDefault="001C1045" w:rsidP="00266324">
            <w:pPr>
              <w:pStyle w:val="Zkladntext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1C1045">
              <w:rPr>
                <w:rStyle w:val="Promnn"/>
                <w:rFonts w:ascii="Garamond" w:hAnsi="Garamond"/>
                <w:sz w:val="24"/>
                <w:szCs w:val="24"/>
              </w:rPr>
              <w:t>-</w:t>
            </w:r>
            <w:r w:rsidRPr="001C1045">
              <w:rPr>
                <w:rFonts w:ascii="Garamond" w:hAnsi="Garamond"/>
                <w:sz w:val="24"/>
                <w:szCs w:val="24"/>
              </w:rPr>
              <w:t xml:space="preserve"> projednávají a rozhodují trestní věci patřící do jejich pravomoci podle zákonů o trestním řízení,</w:t>
            </w:r>
          </w:p>
          <w:p w14:paraId="60B43EE7" w14:textId="77777777" w:rsidR="001C1045" w:rsidRPr="001C1045" w:rsidRDefault="001C1045" w:rsidP="001C1045">
            <w:pPr>
              <w:pStyle w:val="Zkladntext"/>
              <w:shd w:val="clear" w:color="auto" w:fill="FFFFFF"/>
              <w:spacing w:after="0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Style w:val="Promnn"/>
                <w:rFonts w:ascii="Garamond" w:hAnsi="Garamond"/>
                <w:color w:val="030303"/>
                <w:kern w:val="2"/>
                <w:sz w:val="24"/>
                <w:szCs w:val="24"/>
              </w:rPr>
              <w:t>-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rozhodují v dalších případech stanovených zákonem nebo mezinárodní smlouvou, s níž vyslovil souhlas Parlament, jíž je Česká republika vázána a která byla vyhlášena.</w:t>
            </w:r>
          </w:p>
          <w:p w14:paraId="7DDDFBE1" w14:textId="77777777"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814F062" w14:textId="77777777" w:rsidR="00DD60AF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K zajištění dalších činností spojených s rozhodovací pravomocí soudů vedou soudy podle zákona č. 141/1961 Sb., trestní řád, ve znění pozdějších předpisů, a zákona č. 99/1963 Sb., občanský soudní řád, ve znění pozdějších předpisů, evidenci advokátů ustanovovaných ex-offo a plných mocí a pověření.</w:t>
            </w:r>
          </w:p>
          <w:p w14:paraId="6656AD00" w14:textId="77777777"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    </w:t>
            </w:r>
          </w:p>
          <w:p w14:paraId="2637CB31" w14:textId="77777777"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K zajištění dalších činností spojených s rozhodovací pravomocí soudů vedou soudy podle zákona </w:t>
            </w:r>
            <w:r w:rsidRPr="001C1045">
              <w:rPr>
                <w:rFonts w:ascii="Garamond" w:hAnsi="Garamond"/>
                <w:kern w:val="2"/>
                <w:sz w:val="24"/>
                <w:szCs w:val="24"/>
              </w:rPr>
              <w:t>č. 6/2002 Sb., o soudech a soudcích ve znění pozdějších předpisů, evidence přísedících</w:t>
            </w:r>
            <w:r w:rsidR="00231124">
              <w:rPr>
                <w:rFonts w:ascii="Garamond" w:hAnsi="Garamond"/>
                <w:kern w:val="2"/>
                <w:sz w:val="24"/>
                <w:szCs w:val="24"/>
              </w:rPr>
              <w:t>.</w:t>
            </w:r>
          </w:p>
          <w:p w14:paraId="457AE9BF" w14:textId="77777777"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</w:p>
          <w:p w14:paraId="17662127" w14:textId="77777777" w:rsidR="00DD196B" w:rsidRPr="001C1045" w:rsidRDefault="001C1045" w:rsidP="001C1045">
            <w:pPr>
              <w:shd w:val="clear" w:color="auto" w:fill="FFFFFF"/>
              <w:jc w:val="both"/>
              <w:rPr>
                <w:rFonts w:ascii="myriad-pro" w:eastAsia="Times New Roman" w:hAnsi="myriad-pro" w:cs="Arial"/>
                <w:sz w:val="23"/>
                <w:szCs w:val="23"/>
              </w:rPr>
            </w:pPr>
            <w:r w:rsidRPr="001C1045">
              <w:rPr>
                <w:rFonts w:ascii="Garamond" w:eastAsia="Times New Roman" w:hAnsi="Garamond"/>
                <w:sz w:val="24"/>
                <w:szCs w:val="24"/>
              </w:rPr>
              <w:t xml:space="preserve">Za účelem plnění všech výše uvedených zákonných povinností soudy zpracovávají osobní údaje </w:t>
            </w:r>
            <w:r w:rsidRPr="001C1045">
              <w:rPr>
                <w:rFonts w:ascii="Garamond" w:eastAsia="Times New Roman" w:hAnsi="Garamond" w:cs="Arial"/>
                <w:sz w:val="24"/>
                <w:szCs w:val="24"/>
              </w:rPr>
              <w:t>fyzických osob, které jsou účastníky uvedených řízení, žadateli, stěžovateli nebo oznamovateli, případně v řízení vystupují jako svědci či jiné na řízení zúčastněné osoby nebo se na ně vztahuje evidenční povinnost či možnost evidence dobrovolné.</w:t>
            </w:r>
          </w:p>
        </w:tc>
      </w:tr>
      <w:tr w:rsidR="00266324" w:rsidRPr="00957A49" w14:paraId="45794DDD" w14:textId="77777777" w:rsidTr="00A46F0A">
        <w:tc>
          <w:tcPr>
            <w:tcW w:w="1368" w:type="pct"/>
            <w:vAlign w:val="center"/>
          </w:tcPr>
          <w:p w14:paraId="15533C27" w14:textId="77777777" w:rsidR="00266324" w:rsidRDefault="00266324" w:rsidP="005D279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Rejstříky </w:t>
            </w:r>
            <w:r w:rsidR="005D279E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b/>
                <w:sz w:val="24"/>
                <w:szCs w:val="24"/>
              </w:rPr>
              <w:t>výkon</w:t>
            </w:r>
            <w:r w:rsidR="005D279E">
              <w:rPr>
                <w:rFonts w:ascii="Garamond" w:hAnsi="Garamond"/>
                <w:b/>
                <w:sz w:val="24"/>
                <w:szCs w:val="24"/>
              </w:rPr>
              <w:t xml:space="preserve"> soudnictví</w:t>
            </w:r>
          </w:p>
        </w:tc>
        <w:tc>
          <w:tcPr>
            <w:tcW w:w="3632" w:type="pct"/>
          </w:tcPr>
          <w:p w14:paraId="35375AA4" w14:textId="77777777" w:rsidR="00266324" w:rsidRPr="00DD60AF" w:rsidRDefault="00266324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Agendy civilní  - C, EC, </w:t>
            </w:r>
            <w:r w:rsidR="00DD60AF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EVC, Cd</w:t>
            </w: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A61B7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EPR, Ro</w:t>
            </w:r>
          </w:p>
          <w:p w14:paraId="279D2171" w14:textId="77777777" w:rsidR="00266324" w:rsidRPr="00DD60AF" w:rsidRDefault="00DD60AF" w:rsidP="001C1045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Agendy trestní - T, PP</w:t>
            </w:r>
            <w:r w:rsidR="00266324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E074E8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Td</w:t>
            </w:r>
            <w:proofErr w:type="spellEnd"/>
            <w:r w:rsidR="00E074E8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A61B7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Nt</w:t>
            </w:r>
            <w:proofErr w:type="spellEnd"/>
            <w:r w:rsidR="00A61B7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A61B7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Rt</w:t>
            </w:r>
            <w:proofErr w:type="spellEnd"/>
            <w:r w:rsidR="00B40D3B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</w:t>
            </w:r>
          </w:p>
          <w:p w14:paraId="5218BA0D" w14:textId="77777777" w:rsidR="00266324" w:rsidRPr="00DD60AF" w:rsidRDefault="00266324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Agendy trestní ve věcech mládeže -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Tm</w:t>
            </w:r>
            <w:proofErr w:type="spellEnd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Ntm</w:t>
            </w:r>
            <w:proofErr w:type="spellEnd"/>
            <w:r w:rsidR="00DD60AF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Rod</w:t>
            </w:r>
          </w:p>
          <w:p w14:paraId="19A661F0" w14:textId="77777777" w:rsidR="00DD60AF" w:rsidRPr="00DD60AF" w:rsidRDefault="00DD60AF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Agenda opatrovnická – P, P a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</w:t>
            </w:r>
            <w:proofErr w:type="spellEnd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L </w:t>
            </w:r>
          </w:p>
          <w:p w14:paraId="1F07E62B" w14:textId="77777777" w:rsidR="00DD60AF" w:rsidRPr="00DD60AF" w:rsidRDefault="00DD60AF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Agenda výkonu rozhodnutí a exekuční – E, EXE</w:t>
            </w:r>
          </w:p>
          <w:p w14:paraId="0D15B905" w14:textId="77777777" w:rsidR="00266324" w:rsidRDefault="00DD60AF" w:rsidP="00B40D3B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Agenda pozůstalostního řízení, soudních úschov a umořování listin – D,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Sd</w:t>
            </w:r>
            <w:proofErr w:type="spellEnd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U</w:t>
            </w:r>
          </w:p>
          <w:p w14:paraId="1567AD8A" w14:textId="77777777" w:rsidR="00B40D3B" w:rsidRPr="00DD60AF" w:rsidRDefault="00B40D3B" w:rsidP="00B40D3B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Agenda všeobecná – </w:t>
            </w:r>
            <w:proofErr w:type="spellStart"/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</w:t>
            </w:r>
            <w:proofErr w:type="spellEnd"/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ZRT</w:t>
            </w:r>
          </w:p>
        </w:tc>
      </w:tr>
      <w:tr w:rsidR="00266324" w:rsidRPr="00957A49" w14:paraId="5D5D0B42" w14:textId="77777777" w:rsidTr="00266324">
        <w:tc>
          <w:tcPr>
            <w:tcW w:w="5000" w:type="pct"/>
            <w:gridSpan w:val="2"/>
            <w:vAlign w:val="center"/>
          </w:tcPr>
          <w:p w14:paraId="59AD031B" w14:textId="77777777" w:rsidR="00266324" w:rsidRPr="001C1045" w:rsidRDefault="00266324" w:rsidP="00311112">
            <w:pPr>
              <w:jc w:val="both"/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</w:pPr>
            <w:r w:rsidRPr="00E86D24">
              <w:rPr>
                <w:rFonts w:ascii="Garamond" w:eastAsia="Times New Roman" w:hAnsi="Garamond"/>
                <w:b/>
                <w:sz w:val="24"/>
                <w:szCs w:val="24"/>
              </w:rPr>
              <w:t xml:space="preserve">ZPRACOVÁNÍ A OCHRANA OSOBNÍCH ÚDAJŮ PŘI VÝKONU </w:t>
            </w:r>
            <w:r w:rsidR="00311112">
              <w:rPr>
                <w:rFonts w:ascii="Garamond" w:eastAsia="Times New Roman" w:hAnsi="Garamond"/>
                <w:b/>
                <w:sz w:val="24"/>
                <w:szCs w:val="24"/>
              </w:rPr>
              <w:t xml:space="preserve">SOUDNÍCH PRAVOMOCÍ </w:t>
            </w:r>
            <w:r w:rsidRPr="00E86D24">
              <w:rPr>
                <w:rFonts w:ascii="Garamond" w:eastAsia="Times New Roman" w:hAnsi="Garamond"/>
                <w:b/>
                <w:sz w:val="24"/>
                <w:szCs w:val="24"/>
              </w:rPr>
              <w:t>NEPODLÉHAJÍ DOZORU ÚŘADU PRO OCHRANU OSOBNÍCH ÚDAJŮ</w:t>
            </w:r>
          </w:p>
        </w:tc>
      </w:tr>
    </w:tbl>
    <w:p w14:paraId="5585C4C2" w14:textId="77777777" w:rsidR="000F0A68" w:rsidRDefault="000F0A68" w:rsidP="00A3556D">
      <w:pPr>
        <w:rPr>
          <w:b/>
          <w:bCs/>
        </w:rPr>
      </w:pPr>
    </w:p>
    <w:p w14:paraId="07DA21E5" w14:textId="77777777" w:rsidR="003E2C01" w:rsidRDefault="003E2C01" w:rsidP="00A3556D">
      <w:pPr>
        <w:rPr>
          <w:b/>
          <w:bCs/>
        </w:rPr>
      </w:pPr>
    </w:p>
    <w:p w14:paraId="5652F261" w14:textId="77777777" w:rsidR="003E2C01" w:rsidRDefault="003E2C01" w:rsidP="00A3556D">
      <w:pPr>
        <w:rPr>
          <w:b/>
          <w:bCs/>
        </w:rPr>
      </w:pPr>
    </w:p>
    <w:p w14:paraId="4729692D" w14:textId="77777777" w:rsidR="003E2C01" w:rsidRDefault="003E2C01" w:rsidP="00A3556D">
      <w:pPr>
        <w:rPr>
          <w:b/>
          <w:bCs/>
        </w:rPr>
      </w:pPr>
    </w:p>
    <w:p w14:paraId="1AB4B971" w14:textId="77777777" w:rsidR="003E2C01" w:rsidRDefault="003E2C01" w:rsidP="00A3556D">
      <w:pPr>
        <w:rPr>
          <w:b/>
          <w:bCs/>
        </w:rPr>
      </w:pPr>
    </w:p>
    <w:p w14:paraId="223AF294" w14:textId="77777777" w:rsidR="003E2C01" w:rsidRDefault="003E2C01" w:rsidP="00A3556D">
      <w:pPr>
        <w:rPr>
          <w:b/>
          <w:bCs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634"/>
        <w:gridCol w:w="6994"/>
      </w:tblGrid>
      <w:tr w:rsidR="005D279E" w:rsidRPr="001C1045" w14:paraId="192AC367" w14:textId="77777777" w:rsidTr="007F729C">
        <w:trPr>
          <w:trHeight w:hRule="exact" w:val="567"/>
        </w:trPr>
        <w:tc>
          <w:tcPr>
            <w:tcW w:w="5000" w:type="pct"/>
            <w:gridSpan w:val="2"/>
            <w:vAlign w:val="center"/>
          </w:tcPr>
          <w:p w14:paraId="4A78D907" w14:textId="77777777" w:rsidR="005D279E" w:rsidRPr="005D279E" w:rsidRDefault="005D279E" w:rsidP="005D279E">
            <w:pPr>
              <w:shd w:val="clear" w:color="auto" w:fill="FFFFFF"/>
              <w:rPr>
                <w:rFonts w:ascii="Garamond" w:eastAsia="Times New Roman" w:hAnsi="Garamond"/>
                <w:bCs/>
                <w:color w:val="222222"/>
                <w:kern w:val="2"/>
                <w:sz w:val="28"/>
                <w:szCs w:val="28"/>
                <w:lang w:val="en"/>
              </w:rPr>
            </w:pPr>
            <w:r w:rsidRPr="005D279E">
              <w:rPr>
                <w:rFonts w:ascii="Garamond" w:hAnsi="Garamond"/>
                <w:b/>
                <w:sz w:val="28"/>
                <w:szCs w:val="28"/>
              </w:rPr>
              <w:t>Účely zpracování osobních údajů</w:t>
            </w:r>
          </w:p>
        </w:tc>
      </w:tr>
      <w:tr w:rsidR="001C1045" w:rsidRPr="001C1045" w14:paraId="2575FE33" w14:textId="77777777" w:rsidTr="00266324">
        <w:tc>
          <w:tcPr>
            <w:tcW w:w="1368" w:type="pct"/>
            <w:vAlign w:val="center"/>
          </w:tcPr>
          <w:p w14:paraId="18970270" w14:textId="77777777" w:rsidR="001C1045" w:rsidRPr="001C1045" w:rsidRDefault="001C1045" w:rsidP="001C1045">
            <w:pPr>
              <w:shd w:val="clear" w:color="auto" w:fill="FFFFFF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1C1045">
              <w:rPr>
                <w:rFonts w:ascii="Garamond" w:eastAsia="Times New Roman" w:hAnsi="Garamond" w:cs="Arial"/>
                <w:b/>
                <w:sz w:val="24"/>
                <w:szCs w:val="24"/>
              </w:rPr>
              <w:t>VÝKON SPRÁVY SOUDŮ</w:t>
            </w:r>
          </w:p>
          <w:p w14:paraId="7445491E" w14:textId="77777777" w:rsidR="001C1045" w:rsidRP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112FA36" w14:textId="77777777" w:rsidR="001C1045" w:rsidRP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C1045">
              <w:rPr>
                <w:rFonts w:ascii="Garamond" w:eastAsia="Times New Roman" w:hAnsi="Garamond"/>
                <w:sz w:val="23"/>
                <w:szCs w:val="23"/>
              </w:rPr>
              <w:t xml:space="preserve">     </w:t>
            </w:r>
          </w:p>
        </w:tc>
        <w:tc>
          <w:tcPr>
            <w:tcW w:w="3632" w:type="pct"/>
          </w:tcPr>
          <w:p w14:paraId="7015BC43" w14:textId="77777777" w:rsidR="001C1045" w:rsidRDefault="001C1045" w:rsidP="00F75383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C1045">
              <w:rPr>
                <w:rFonts w:ascii="Garamond" w:eastAsia="Times New Roman" w:hAnsi="Garamond"/>
                <w:sz w:val="24"/>
                <w:szCs w:val="24"/>
              </w:rPr>
              <w:t xml:space="preserve">Podle zákona č. 219/2000 Sb., </w:t>
            </w:r>
            <w:r w:rsidRPr="001C1045">
              <w:rPr>
                <w:rFonts w:ascii="Garamond" w:hAnsi="Garamond"/>
                <w:color w:val="000000"/>
                <w:sz w:val="24"/>
                <w:szCs w:val="24"/>
              </w:rPr>
              <w:t>o majetku České republiky a jejím vystupování v právních vztazích, ve znění pozdějších předpisů, zastupují soudy stát v právních vztazích hospodaření s majetkem České republiky. Za účelem plnění této úlohy a k zajištění řádného hospodářského a finančního chodu zpracovávají soudy osobní údaje smluvních dodavatelů</w:t>
            </w:r>
            <w:r w:rsidR="00FD29B2">
              <w:rPr>
                <w:rFonts w:ascii="Garamond" w:hAnsi="Garamond"/>
                <w:color w:val="000000"/>
                <w:sz w:val="24"/>
                <w:szCs w:val="24"/>
              </w:rPr>
              <w:t>- fyzických osob</w:t>
            </w:r>
            <w:r w:rsidRPr="001C1045">
              <w:rPr>
                <w:rFonts w:ascii="Garamond" w:hAnsi="Garamond"/>
                <w:color w:val="000000"/>
                <w:sz w:val="24"/>
                <w:szCs w:val="24"/>
              </w:rPr>
              <w:t xml:space="preserve"> a dalších zúčastněných osob z titulu plnění smluvních povinností a právních povinností organizační složky státu</w:t>
            </w:r>
            <w:r w:rsidR="00231124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  <w:p w14:paraId="0CE43D98" w14:textId="77777777" w:rsidR="005D5D38" w:rsidRDefault="005D5D38" w:rsidP="00F75383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2B1BAF63" w14:textId="77777777" w:rsidR="005D5D38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Podle zákona č. 6/2002 Sb., o soudech a soudcích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- </w:t>
            </w: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Státní správa soudů – zajišťování chodu soudu po stránce</w:t>
            </w:r>
            <w:r w:rsidR="00FD29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personální, organizační,</w:t>
            </w: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hospodářské, finanční</w:t>
            </w:r>
            <w:r w:rsidR="00FD29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a výchovné.</w:t>
            </w:r>
          </w:p>
          <w:p w14:paraId="60242129" w14:textId="77777777" w:rsidR="005D5D38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  <w:p w14:paraId="65190493" w14:textId="77777777" w:rsidR="005D5D38" w:rsidRDefault="005D5D38" w:rsidP="00F75383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V souvi</w:t>
            </w:r>
            <w:r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slosti s výkonem státní správy soudů,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soudy vyřizují stížnosti právnických a fyzických osob podle ustanovení § 164 a násl. zákona č. 6/2002 Sb., o soudech a soudcích, ve </w:t>
            </w:r>
            <w:r w:rsidR="00C46496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znění pozdějších přepisů</w:t>
            </w:r>
            <w:r w:rsidR="0023112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.</w:t>
            </w:r>
          </w:p>
          <w:p w14:paraId="0BD15DB6" w14:textId="77777777" w:rsidR="005D5D38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                        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       </w:t>
            </w:r>
          </w:p>
          <w:p w14:paraId="7A04CE94" w14:textId="77777777" w:rsidR="00A46F0A" w:rsidRPr="005D5D38" w:rsidRDefault="00901689" w:rsidP="00F75383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Vyřizování žádostí</w:t>
            </w:r>
            <w:r w:rsidR="00A46F0A"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o informace podle zákona č. 106/1999 Sb., o svobodném přístupu k informacím, ve znění pozdějších předpisů.</w:t>
            </w:r>
          </w:p>
        </w:tc>
      </w:tr>
      <w:tr w:rsidR="001C1045" w:rsidRPr="001C1045" w14:paraId="747E2D29" w14:textId="77777777" w:rsidTr="00266324">
        <w:tc>
          <w:tcPr>
            <w:tcW w:w="1368" w:type="pct"/>
            <w:vAlign w:val="center"/>
          </w:tcPr>
          <w:p w14:paraId="3AA5BCE0" w14:textId="77777777" w:rsidR="001C1045" w:rsidRPr="001C1045" w:rsidRDefault="001C1045" w:rsidP="001C1045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1C1045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ZAJIŠTĚNÍ POŘÁDKU A BEZPEČNOSTI </w:t>
            </w:r>
          </w:p>
          <w:p w14:paraId="034BA8C2" w14:textId="77777777" w:rsidR="001C1045" w:rsidRPr="001C1045" w:rsidRDefault="001C1045" w:rsidP="001C1045">
            <w:pPr>
              <w:shd w:val="clear" w:color="auto" w:fill="FFFFFF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3632" w:type="pct"/>
          </w:tcPr>
          <w:p w14:paraId="0895C39E" w14:textId="77777777" w:rsidR="001C1045" w:rsidRPr="005D279E" w:rsidRDefault="001C1045" w:rsidP="00311112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00000"/>
                <w:sz w:val="24"/>
                <w:szCs w:val="24"/>
              </w:rPr>
              <w:t xml:space="preserve">Za účelem veřejného zájmu - zajištění pořádku a bezpečnosti v budovách soudů – podle ustanovení § 2 odst. 1 písm. f) a § 4a písm. d) zákona č. 555/1992 Sb., o Vězeňské službě a justiční stráži České republiky, ve znění pozdějších předpisů, jsou prostory soudů monitorovány kamerovými systémy. </w:t>
            </w:r>
            <w:r w:rsidR="00685058" w:rsidRPr="006850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Získávání důkazů pro</w:t>
            </w:r>
            <w:r w:rsidR="00F7538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orgány činné v trestním </w:t>
            </w:r>
            <w:r w:rsidR="00C4649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řízení, kontrola</w:t>
            </w:r>
            <w:r w:rsidR="00685058" w:rsidRPr="006850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při</w:t>
            </w:r>
            <w:r w:rsidR="000F5C4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měřenosti zásahu justiční stráž</w:t>
            </w:r>
            <w:r w:rsidR="0031111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e, kontrola proti krádežím dokumentů ze spisů při nahlížení do spisů (informační kancelář).</w:t>
            </w:r>
          </w:p>
        </w:tc>
      </w:tr>
      <w:tr w:rsidR="00266324" w:rsidRPr="001C1045" w14:paraId="6F0F099A" w14:textId="77777777" w:rsidTr="005D279E">
        <w:tc>
          <w:tcPr>
            <w:tcW w:w="1368" w:type="pct"/>
            <w:vAlign w:val="center"/>
          </w:tcPr>
          <w:p w14:paraId="27976789" w14:textId="77777777" w:rsidR="00266324" w:rsidRPr="001C1045" w:rsidRDefault="00266324" w:rsidP="005D279E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Rejstříky </w:t>
            </w:r>
            <w:r w:rsidR="005D279E">
              <w:rPr>
                <w:rFonts w:ascii="Garamond" w:hAnsi="Garamond"/>
                <w:b/>
                <w:sz w:val="24"/>
                <w:szCs w:val="24"/>
              </w:rPr>
              <w:t xml:space="preserve">- </w:t>
            </w:r>
            <w:r>
              <w:rPr>
                <w:rFonts w:ascii="Garamond" w:hAnsi="Garamond"/>
                <w:b/>
                <w:sz w:val="24"/>
                <w:szCs w:val="24"/>
              </w:rPr>
              <w:t>správa soudu</w:t>
            </w:r>
          </w:p>
        </w:tc>
        <w:tc>
          <w:tcPr>
            <w:tcW w:w="3632" w:type="pct"/>
          </w:tcPr>
          <w:p w14:paraId="766BC1D1" w14:textId="77777777" w:rsidR="00266324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Správní deník</w:t>
            </w:r>
            <w:r w:rsidR="005D279E">
              <w:rPr>
                <w:rFonts w:ascii="Garamond" w:hAnsi="Garamond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SPR</w:t>
            </w:r>
          </w:p>
          <w:p w14:paraId="1EF760F8" w14:textId="77777777" w:rsidR="00901689" w:rsidRDefault="005D279E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Agenda stížností -</w:t>
            </w:r>
            <w:r w:rsidR="00901689"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St</w:t>
            </w:r>
          </w:p>
          <w:p w14:paraId="134FCF41" w14:textId="77777777" w:rsidR="00901689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Agenda žádostí dle zák. č. 106/1999 Sb.</w:t>
            </w:r>
            <w:r w:rsidR="005D279E">
              <w:rPr>
                <w:rFonts w:ascii="Garamond" w:hAnsi="Garamond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Si</w:t>
            </w:r>
          </w:p>
          <w:p w14:paraId="77CEBD30" w14:textId="77777777" w:rsidR="005D279E" w:rsidRDefault="005D279E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513CCCB4" w14:textId="77777777" w:rsidR="00901689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Další činnost výkonu správy soudu:</w:t>
            </w:r>
          </w:p>
          <w:p w14:paraId="2485EF62" w14:textId="77777777" w:rsidR="00901689" w:rsidRPr="00901689" w:rsidRDefault="00901689" w:rsidP="00901689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Personální a mzdová agenda (soudci, zaměstnanci, příse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dící, svědci, znalci a tlumočníci</w:t>
            </w:r>
            <w:r w:rsidRPr="00901689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)</w:t>
            </w:r>
          </w:p>
          <w:p w14:paraId="413D3BD9" w14:textId="77777777" w:rsidR="00901689" w:rsidRPr="00901689" w:rsidRDefault="00901689" w:rsidP="00901689">
            <w:pPr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>Vedení evidence advokátů ustanovovaných ex-offo</w:t>
            </w:r>
          </w:p>
          <w:p w14:paraId="652DC4FA" w14:textId="77777777" w:rsidR="00901689" w:rsidRPr="00901689" w:rsidRDefault="00901689" w:rsidP="00901689">
            <w:pPr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>Vedení evidence plných mocí a pověření</w:t>
            </w:r>
          </w:p>
          <w:p w14:paraId="27EAA029" w14:textId="77777777" w:rsidR="00901689" w:rsidRPr="00901689" w:rsidRDefault="00901689" w:rsidP="005D279E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</w:t>
            </w:r>
            <w:r w:rsidR="005D279E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</w:t>
            </w:r>
            <w:r w:rsidRPr="00901689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správy soudu  - Vymáhání pohledávek</w:t>
            </w:r>
          </w:p>
        </w:tc>
      </w:tr>
      <w:tr w:rsidR="000F5C46" w:rsidRPr="001C1045" w14:paraId="280FC570" w14:textId="77777777" w:rsidTr="008327FF">
        <w:tc>
          <w:tcPr>
            <w:tcW w:w="1368" w:type="pct"/>
            <w:vAlign w:val="center"/>
          </w:tcPr>
          <w:p w14:paraId="2EF04871" w14:textId="77777777" w:rsidR="000F5C46" w:rsidRPr="001C1045" w:rsidRDefault="000F5C46" w:rsidP="0089588A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Předávání osobních údajů třetím osobám, mezinárodní transfery</w:t>
            </w:r>
          </w:p>
        </w:tc>
        <w:tc>
          <w:tcPr>
            <w:tcW w:w="3632" w:type="pct"/>
          </w:tcPr>
          <w:p w14:paraId="5317D551" w14:textId="77777777" w:rsidR="000F5C46" w:rsidRDefault="000F5C46" w:rsidP="0089588A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 xml:space="preserve">Případné předávání 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>osobních údajů jinému správci je možné pouze na základě konkrétního právního předpisu, který takovou možnost či povinnost upravuje. Příjemci těchto osobních údajů jso</w:t>
            </w:r>
            <w:r w:rsidR="005D279E">
              <w:rPr>
                <w:rFonts w:ascii="Garamond" w:eastAsia="Times New Roman" w:hAnsi="Garamond"/>
                <w:sz w:val="24"/>
                <w:szCs w:val="24"/>
              </w:rPr>
              <w:t>u zpravidla orgány veřejné moci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/>
                <w:sz w:val="24"/>
                <w:szCs w:val="24"/>
              </w:rPr>
              <w:t>(or</w:t>
            </w:r>
            <w:r w:rsidR="00286679">
              <w:rPr>
                <w:rFonts w:ascii="Garamond" w:eastAsia="Times New Roman" w:hAnsi="Garamond"/>
                <w:sz w:val="24"/>
                <w:szCs w:val="24"/>
              </w:rPr>
              <w:t>g</w:t>
            </w:r>
            <w:r>
              <w:rPr>
                <w:rFonts w:ascii="Garamond" w:eastAsia="Times New Roman" w:hAnsi="Garamond"/>
                <w:sz w:val="24"/>
                <w:szCs w:val="24"/>
              </w:rPr>
              <w:t>ány činné v trestním řízení, NBÚ, veřejné rejstříky atd.)</w:t>
            </w:r>
          </w:p>
          <w:p w14:paraId="545F5C17" w14:textId="77777777" w:rsidR="000F5C46" w:rsidRDefault="000F5C46" w:rsidP="0089588A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2C050E">
              <w:rPr>
                <w:rFonts w:ascii="Garamond" w:eastAsia="Times New Roman" w:hAnsi="Garamond"/>
                <w:sz w:val="24"/>
                <w:szCs w:val="24"/>
              </w:rPr>
              <w:t>V odůvodněných př</w:t>
            </w:r>
            <w:r>
              <w:rPr>
                <w:rFonts w:ascii="Garamond" w:eastAsia="Times New Roman" w:hAnsi="Garamond"/>
                <w:sz w:val="24"/>
                <w:szCs w:val="24"/>
              </w:rPr>
              <w:t>ípadech mohou být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 xml:space="preserve"> osobní údaje, které jsou uložené v informačních systémech, zpracovávány zpracovateli - externími dodavateli informačních systémů, a to za účelem údržby a rozvoje informačních systémů. Se zpracovateli jsou uzavřeny smlouvy o zpracování osobních údajů v souladu s čl. 28 GDPR. </w:t>
            </w:r>
          </w:p>
          <w:p w14:paraId="695CCC20" w14:textId="77777777" w:rsidR="000F5C46" w:rsidRPr="005D279E" w:rsidRDefault="000F5C46" w:rsidP="0089588A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2C050E">
              <w:rPr>
                <w:rFonts w:ascii="Garamond" w:eastAsia="Times New Roman" w:hAnsi="Garamond"/>
                <w:sz w:val="24"/>
                <w:szCs w:val="24"/>
              </w:rPr>
              <w:t>Případné předání osobních údajů do zahraničí (státy mimo EU a mezinárodních organizací) je možné rovněž výlučně na základě právního pře</w:t>
            </w:r>
            <w:r w:rsidR="00231124">
              <w:rPr>
                <w:rFonts w:ascii="Garamond" w:eastAsia="Times New Roman" w:hAnsi="Garamond"/>
                <w:sz w:val="24"/>
                <w:szCs w:val="24"/>
              </w:rPr>
              <w:t xml:space="preserve">dpisu nebo mezinárodní smlouvy, 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>kterou je Česká republika vázána.</w:t>
            </w:r>
          </w:p>
        </w:tc>
      </w:tr>
    </w:tbl>
    <w:p w14:paraId="00161D0D" w14:textId="77777777" w:rsidR="001C1045" w:rsidRDefault="001C1045" w:rsidP="00A3556D">
      <w:pPr>
        <w:rPr>
          <w:b/>
          <w:bCs/>
        </w:rPr>
      </w:pPr>
    </w:p>
    <w:p w14:paraId="6B653A83" w14:textId="77777777" w:rsidR="005D279E" w:rsidRDefault="005D279E" w:rsidP="00A3556D">
      <w:pPr>
        <w:rPr>
          <w:b/>
          <w:bCs/>
        </w:rPr>
      </w:pPr>
    </w:p>
    <w:tbl>
      <w:tblPr>
        <w:tblStyle w:val="Mkatabulky"/>
        <w:tblW w:w="5006" w:type="pct"/>
        <w:tblLook w:val="04A0" w:firstRow="1" w:lastRow="0" w:firstColumn="1" w:lastColumn="0" w:noHBand="0" w:noVBand="1"/>
      </w:tblPr>
      <w:tblGrid>
        <w:gridCol w:w="2610"/>
        <w:gridCol w:w="7018"/>
        <w:gridCol w:w="12"/>
      </w:tblGrid>
      <w:tr w:rsidR="00FD3A20" w:rsidRPr="00957A49" w14:paraId="3B21568C" w14:textId="77777777" w:rsidTr="007F729C">
        <w:trPr>
          <w:gridAfter w:val="1"/>
          <w:wAfter w:w="6" w:type="pct"/>
          <w:trHeight w:hRule="exact" w:val="567"/>
        </w:trPr>
        <w:tc>
          <w:tcPr>
            <w:tcW w:w="1354" w:type="pct"/>
            <w:vAlign w:val="center"/>
          </w:tcPr>
          <w:p w14:paraId="258295AD" w14:textId="77777777" w:rsidR="00FD3A20" w:rsidRPr="007F729C" w:rsidRDefault="00FD3A20" w:rsidP="00886B65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F729C">
              <w:rPr>
                <w:rFonts w:ascii="Garamond" w:hAnsi="Garamond"/>
                <w:b/>
                <w:sz w:val="28"/>
                <w:szCs w:val="28"/>
              </w:rPr>
              <w:t>Práva subjektu</w:t>
            </w:r>
            <w:r w:rsidR="003A64D0" w:rsidRPr="007F72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7F72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40" w:type="pct"/>
            <w:vAlign w:val="center"/>
          </w:tcPr>
          <w:p w14:paraId="1DB4C61F" w14:textId="77777777" w:rsidR="00FD3A20" w:rsidRPr="007F729C" w:rsidRDefault="003A64D0" w:rsidP="003A64D0">
            <w:pPr>
              <w:autoSpaceDE w:val="0"/>
              <w:jc w:val="both"/>
              <w:rPr>
                <w:rFonts w:ascii="Garamond" w:eastAsia="Times New Roman" w:hAnsi="Garamond"/>
                <w:sz w:val="28"/>
                <w:szCs w:val="28"/>
              </w:rPr>
            </w:pPr>
            <w:r w:rsidRPr="007F729C">
              <w:rPr>
                <w:rFonts w:ascii="Garamond" w:eastAsia="Times New Roman" w:hAnsi="Garamond"/>
                <w:sz w:val="28"/>
                <w:szCs w:val="28"/>
              </w:rPr>
              <w:t xml:space="preserve"> </w:t>
            </w:r>
          </w:p>
        </w:tc>
      </w:tr>
      <w:tr w:rsidR="00FD3A20" w:rsidRPr="00957A49" w14:paraId="36412D08" w14:textId="77777777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0902170C" w14:textId="77777777" w:rsidR="00FD3A20" w:rsidRDefault="003A64D0" w:rsidP="003A64D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stížnost</w:t>
            </w:r>
          </w:p>
        </w:tc>
        <w:tc>
          <w:tcPr>
            <w:tcW w:w="3640" w:type="pct"/>
          </w:tcPr>
          <w:p w14:paraId="303AE733" w14:textId="77777777" w:rsidR="003A64D0" w:rsidRPr="003A64D0" w:rsidRDefault="003A64D0" w:rsidP="003A64D0">
            <w:pPr>
              <w:autoSpaceDE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3A64D0">
              <w:rPr>
                <w:rFonts w:ascii="Garamond" w:hAnsi="Garamond"/>
                <w:sz w:val="24"/>
                <w:szCs w:val="24"/>
              </w:rPr>
              <w:t>Subjekt osobních údajů má právo podat stížnost u dozorového orgánu, kterým je Úřad pro ochranu osobních údajů (čl. 77 GDPR)</w:t>
            </w:r>
            <w:r w:rsidR="00231124">
              <w:rPr>
                <w:rFonts w:ascii="Garamond" w:hAnsi="Garamond"/>
                <w:sz w:val="24"/>
                <w:szCs w:val="24"/>
              </w:rPr>
              <w:t>.</w:t>
            </w:r>
          </w:p>
          <w:p w14:paraId="5EC46013" w14:textId="77777777" w:rsidR="00E86D24" w:rsidRDefault="00E86D24" w:rsidP="003A64D0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</w:p>
          <w:p w14:paraId="2EA69CDC" w14:textId="77777777" w:rsidR="00E86D24" w:rsidRDefault="00E86D24" w:rsidP="003A64D0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Kontaktní údaje úřadu:</w:t>
            </w:r>
          </w:p>
          <w:p w14:paraId="48DC633C" w14:textId="77777777" w:rsidR="00E86D24" w:rsidRPr="00E86D24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Adresa: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     </w:t>
            </w:r>
            <w:r w:rsidRPr="00E86D24">
              <w:rPr>
                <w:rFonts w:ascii="Garamond" w:hAnsi="Garamond"/>
                <w:sz w:val="24"/>
                <w:szCs w:val="24"/>
              </w:rPr>
              <w:t>Úřad pro ochranu osobních údajů</w:t>
            </w:r>
          </w:p>
          <w:p w14:paraId="49D7E14B" w14:textId="77777777" w:rsidR="00E86D24" w:rsidRPr="00E86D24" w:rsidRDefault="00E86D24" w:rsidP="00E86D24">
            <w:pPr>
              <w:ind w:left="7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</w:t>
            </w:r>
            <w:r w:rsidRPr="00E86D24">
              <w:rPr>
                <w:rFonts w:ascii="Garamond" w:hAnsi="Garamond"/>
                <w:sz w:val="24"/>
                <w:szCs w:val="24"/>
              </w:rPr>
              <w:t>Pplk. Sochora 27</w:t>
            </w:r>
            <w:r w:rsidRPr="00E86D24">
              <w:rPr>
                <w:rFonts w:ascii="Garamond" w:hAnsi="Garamond"/>
                <w:sz w:val="24"/>
                <w:szCs w:val="24"/>
              </w:rPr>
              <w:br/>
            </w:r>
            <w:r>
              <w:rPr>
                <w:rFonts w:ascii="Garamond" w:hAnsi="Garamond"/>
                <w:sz w:val="24"/>
                <w:szCs w:val="24"/>
              </w:rPr>
              <w:t xml:space="preserve">       </w:t>
            </w:r>
            <w:r w:rsidRPr="00E86D24">
              <w:rPr>
                <w:rFonts w:ascii="Garamond" w:hAnsi="Garamond"/>
                <w:sz w:val="24"/>
                <w:szCs w:val="24"/>
              </w:rPr>
              <w:t>170 00 Praha 7</w:t>
            </w:r>
          </w:p>
          <w:p w14:paraId="79EAD4AE" w14:textId="77777777" w:rsidR="00E86D24" w:rsidRPr="00E86D24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Telefon: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 xml:space="preserve">pevná linka: +420 234 665 111 (Ústředna) </w:t>
            </w:r>
          </w:p>
          <w:p w14:paraId="40EE20A1" w14:textId="77777777" w:rsidR="00E86D24" w:rsidRPr="00E86D24" w:rsidRDefault="00E86D24" w:rsidP="00E86D24">
            <w:pPr>
              <w:ind w:left="7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</w:t>
            </w:r>
            <w:r w:rsidRPr="00E86D24">
              <w:rPr>
                <w:rFonts w:ascii="Garamond" w:hAnsi="Garamond"/>
                <w:sz w:val="24"/>
                <w:szCs w:val="24"/>
              </w:rPr>
              <w:t>fax: +420 234 665 444</w:t>
            </w:r>
          </w:p>
          <w:p w14:paraId="0A669F6D" w14:textId="77777777" w:rsidR="00E86D24" w:rsidRPr="00E86D24" w:rsidRDefault="00E86D24" w:rsidP="00E86D24">
            <w:pPr>
              <w:rPr>
                <w:rFonts w:ascii="Garamond" w:hAnsi="Garamond"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WWW: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 xml:space="preserve">oficiální: </w:t>
            </w:r>
            <w:hyperlink r:id="rId9" w:history="1">
              <w:r w:rsidRPr="00E86D24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https://www.uoou.cz</w:t>
              </w:r>
            </w:hyperlink>
          </w:p>
          <w:p w14:paraId="1DFED165" w14:textId="77777777" w:rsidR="00E86D24" w:rsidRPr="00E86D24" w:rsidRDefault="00E86D24" w:rsidP="00E86D24">
            <w:pPr>
              <w:rPr>
                <w:rFonts w:ascii="Garamond" w:hAnsi="Garamond"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E-mail: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 xml:space="preserve">oficiální: </w:t>
            </w:r>
            <w:hyperlink r:id="rId10" w:history="1">
              <w:r w:rsidRPr="00E86D24">
                <w:rPr>
                  <w:rStyle w:val="Hypertextovodkaz"/>
                  <w:rFonts w:ascii="Garamond" w:hAnsi="Garamond"/>
                  <w:sz w:val="24"/>
                  <w:szCs w:val="24"/>
                </w:rPr>
                <w:t>posta@uoou.cz</w:t>
              </w:r>
            </w:hyperlink>
          </w:p>
          <w:p w14:paraId="53B3DD64" w14:textId="77777777" w:rsidR="00E86D24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ID datové schránky: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>qkbaa2n</w:t>
            </w:r>
          </w:p>
        </w:tc>
      </w:tr>
      <w:tr w:rsidR="003A64D0" w:rsidRPr="00957A49" w14:paraId="5C63651A" w14:textId="77777777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7D694E5D" w14:textId="77777777" w:rsidR="003A64D0" w:rsidRDefault="003A64D0" w:rsidP="003A64D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přístup k osobním údajům</w:t>
            </w:r>
          </w:p>
        </w:tc>
        <w:tc>
          <w:tcPr>
            <w:tcW w:w="3640" w:type="pct"/>
          </w:tcPr>
          <w:p w14:paraId="4BF04A68" w14:textId="77777777"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přístup k osobním údajům (čl. 15 GDPR )</w:t>
            </w:r>
          </w:p>
        </w:tc>
      </w:tr>
      <w:tr w:rsidR="003A64D0" w:rsidRPr="00957A49" w14:paraId="29FE8651" w14:textId="77777777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6C2A70CE" w14:textId="77777777"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opravu osobních údajů</w:t>
            </w:r>
          </w:p>
        </w:tc>
        <w:tc>
          <w:tcPr>
            <w:tcW w:w="3640" w:type="pct"/>
          </w:tcPr>
          <w:p w14:paraId="3336914A" w14:textId="77777777" w:rsidR="003A64D0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opravu – doplnění (čl. 16 GDPR)</w:t>
            </w:r>
          </w:p>
          <w:p w14:paraId="4F708080" w14:textId="77777777"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957A49" w14:paraId="7D65E7C2" w14:textId="77777777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2473A6C5" w14:textId="77777777"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omezení zpracování</w:t>
            </w:r>
          </w:p>
        </w:tc>
        <w:tc>
          <w:tcPr>
            <w:tcW w:w="3640" w:type="pct"/>
          </w:tcPr>
          <w:p w14:paraId="03D1A923" w14:textId="77777777" w:rsidR="003A64D0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omezení zpracování (čl. 18 GDPR)</w:t>
            </w:r>
          </w:p>
          <w:p w14:paraId="1D5267D4" w14:textId="77777777"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957A49" w14:paraId="65E1187D" w14:textId="77777777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49790313" w14:textId="77777777"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likvidaci</w:t>
            </w:r>
          </w:p>
        </w:tc>
        <w:tc>
          <w:tcPr>
            <w:tcW w:w="3640" w:type="pct"/>
          </w:tcPr>
          <w:p w14:paraId="4277C4A5" w14:textId="77777777" w:rsidR="003A64D0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výmaz (právo být zapomenut) – (čl. 17 GDPR)</w:t>
            </w:r>
          </w:p>
          <w:p w14:paraId="07BFD87E" w14:textId="77777777"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957A49" w14:paraId="05D3B350" w14:textId="77777777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07754E87" w14:textId="77777777"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omezení zpracování</w:t>
            </w:r>
          </w:p>
        </w:tc>
        <w:tc>
          <w:tcPr>
            <w:tcW w:w="3640" w:type="pct"/>
          </w:tcPr>
          <w:p w14:paraId="3A523FB9" w14:textId="77777777" w:rsidR="00E86D24" w:rsidRDefault="00E86D24" w:rsidP="00E86D24">
            <w:pPr>
              <w:autoSpaceDE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E86D24">
              <w:rPr>
                <w:rFonts w:ascii="Garamond" w:hAnsi="Garamond"/>
                <w:sz w:val="24"/>
                <w:szCs w:val="24"/>
              </w:rPr>
              <w:t xml:space="preserve">Právo na omezení zpracování (čl. 18 GDPR) náleží subjektu osobních údajů pouze v případě, že: </w:t>
            </w:r>
          </w:p>
          <w:p w14:paraId="00637C45" w14:textId="77777777" w:rsidR="00E86D24" w:rsidRPr="00E86D24" w:rsidRDefault="00E86D24" w:rsidP="00E86D24">
            <w:pPr>
              <w:autoSpaceDE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3A3114D" w14:textId="77777777" w:rsidR="001C1045" w:rsidRPr="001C1045" w:rsidRDefault="00E86D24" w:rsidP="001C1045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1C1045">
              <w:rPr>
                <w:rFonts w:cs="MinionPro-Bold"/>
                <w:bCs/>
                <w:szCs w:val="24"/>
              </w:rPr>
              <w:t>subjekt údajů popírá přesnost osobních údajů, a to na dobu potřebnou k tomu, aby správce mohl přesnost osobních údajů ověřit;</w:t>
            </w:r>
          </w:p>
          <w:p w14:paraId="21DB6D39" w14:textId="77777777" w:rsidR="001C1045" w:rsidRDefault="00E86D24" w:rsidP="00E86D24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1C1045">
              <w:rPr>
                <w:rFonts w:cs="MinionPro-Bold"/>
                <w:bCs/>
                <w:szCs w:val="24"/>
              </w:rPr>
              <w:t>zpracování je protiprávní a subjekt údajů odmítá výmaz osobních údajů a žádá místo toho o omezení jejich použití;</w:t>
            </w:r>
          </w:p>
          <w:p w14:paraId="79F9F908" w14:textId="77777777" w:rsidR="003A64D0" w:rsidRPr="001C1045" w:rsidRDefault="00E86D24" w:rsidP="003A64D0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1C1045">
              <w:rPr>
                <w:rFonts w:cs="MinionPro-Bold"/>
                <w:bCs/>
                <w:szCs w:val="24"/>
              </w:rPr>
              <w:t>správce již osobní údaje nepotřebuje pro účely zpracování, ale subjekt údajů je požaduje pro určení, výkon nebo obhajobu právních nároků.</w:t>
            </w:r>
          </w:p>
        </w:tc>
      </w:tr>
      <w:tr w:rsidR="00A46F0A" w:rsidRPr="00957A49" w14:paraId="35F70EE1" w14:textId="77777777" w:rsidTr="00685058">
        <w:tc>
          <w:tcPr>
            <w:tcW w:w="1354" w:type="pct"/>
          </w:tcPr>
          <w:p w14:paraId="2592C8A0" w14:textId="77777777" w:rsidR="00A46F0A" w:rsidRDefault="00A46F0A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</w:rPr>
              <w:t>Uplatnění práva subjektu osobních údajů</w:t>
            </w:r>
          </w:p>
          <w:p w14:paraId="0B275D52" w14:textId="77777777" w:rsidR="00A46F0A" w:rsidRDefault="00A46F0A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  <w:p w14:paraId="0033D94D" w14:textId="77777777" w:rsidR="00A46F0A" w:rsidRPr="00A46F0A" w:rsidRDefault="00A46F0A" w:rsidP="00685058">
            <w:pPr>
              <w:autoSpaceDE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46F0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Oblast výkonu rozhodovacích pravomocí soudů</w:t>
            </w:r>
          </w:p>
          <w:p w14:paraId="60240F86" w14:textId="77777777" w:rsidR="00A46F0A" w:rsidRPr="00E86D24" w:rsidRDefault="00A46F0A" w:rsidP="00685058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46" w:type="pct"/>
            <w:gridSpan w:val="2"/>
            <w:vAlign w:val="center"/>
          </w:tcPr>
          <w:p w14:paraId="62747C7E" w14:textId="77777777" w:rsidR="00A46F0A" w:rsidRDefault="00A46F0A" w:rsidP="00A46F0A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Subjekt OÚ může uplatnit: </w:t>
            </w:r>
          </w:p>
          <w:p w14:paraId="29D8DCD2" w14:textId="77777777"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přístup k osobním údajům (čl. 15 GDPR )</w:t>
            </w:r>
          </w:p>
          <w:p w14:paraId="7F9C1F1B" w14:textId="77777777"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opravu – doplnění (čl. 16 GDPR)</w:t>
            </w:r>
          </w:p>
          <w:p w14:paraId="23623F34" w14:textId="77777777"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</w:p>
          <w:p w14:paraId="0B1F730E" w14:textId="77777777" w:rsidR="00A46F0A" w:rsidRDefault="00A46F0A" w:rsidP="00A46F0A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Nelze uplatnit </w:t>
            </w:r>
            <w:r w:rsidR="00651AE1">
              <w:rPr>
                <w:rFonts w:ascii="Garamond" w:hAnsi="Garamond"/>
                <w:b/>
                <w:sz w:val="24"/>
                <w:szCs w:val="24"/>
              </w:rPr>
              <w:t xml:space="preserve">či lze uplatnit v omezeném rozsahu </w:t>
            </w: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tato práva: </w:t>
            </w:r>
          </w:p>
          <w:p w14:paraId="508D864C" w14:textId="77777777"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výmaz (právo být zapomenut) – (čl. 17 GDPR)</w:t>
            </w:r>
          </w:p>
          <w:p w14:paraId="606603E0" w14:textId="77777777"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přenositelnost osobních údajů (čl. 20 GDPR)</w:t>
            </w:r>
          </w:p>
          <w:p w14:paraId="44AF824A" w14:textId="77777777"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podat stížnost u dozorového úřadu (čl. 77 GDPR)</w:t>
            </w:r>
          </w:p>
          <w:p w14:paraId="1C262987" w14:textId="77777777"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vznést námitku proti zpracování (čl. 21 odst. 1 GDPR)</w:t>
            </w:r>
          </w:p>
          <w:p w14:paraId="7F13CEF2" w14:textId="77777777"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podat stížnost u</w:t>
            </w:r>
            <w:r>
              <w:rPr>
                <w:rFonts w:ascii="Garamond" w:hAnsi="Garamond"/>
                <w:sz w:val="24"/>
                <w:szCs w:val="24"/>
              </w:rPr>
              <w:t xml:space="preserve"> dozorového úřadu (čl. 77 GDPR)</w:t>
            </w:r>
          </w:p>
        </w:tc>
      </w:tr>
      <w:tr w:rsidR="00A46F0A" w:rsidRPr="00957A49" w14:paraId="4C34F380" w14:textId="77777777" w:rsidTr="00685058">
        <w:tc>
          <w:tcPr>
            <w:tcW w:w="1354" w:type="pct"/>
          </w:tcPr>
          <w:p w14:paraId="6202960B" w14:textId="77777777" w:rsidR="00685058" w:rsidRDefault="00685058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</w:rPr>
              <w:t>Uplatnění práva subjektu osobních údajů</w:t>
            </w:r>
          </w:p>
          <w:p w14:paraId="184308B4" w14:textId="77777777" w:rsidR="00685058" w:rsidRPr="00685058" w:rsidRDefault="00685058" w:rsidP="00685058">
            <w:pPr>
              <w:autoSpaceDE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14:paraId="5EB199A9" w14:textId="77777777" w:rsidR="00685058" w:rsidRDefault="00685058" w:rsidP="00685058">
            <w:pPr>
              <w:autoSpaceDE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Výkon správy soudu</w:t>
            </w:r>
            <w:r w:rsidR="007F729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 a</w:t>
            </w:r>
          </w:p>
          <w:p w14:paraId="5E60D20B" w14:textId="77777777" w:rsidR="00A46F0A" w:rsidRPr="00685058" w:rsidRDefault="00685058" w:rsidP="00685058">
            <w:pPr>
              <w:autoSpaceDE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Zajištění pořádku a bezpečnosti </w:t>
            </w:r>
          </w:p>
        </w:tc>
        <w:tc>
          <w:tcPr>
            <w:tcW w:w="3646" w:type="pct"/>
            <w:gridSpan w:val="2"/>
          </w:tcPr>
          <w:p w14:paraId="4366CE2E" w14:textId="77777777" w:rsidR="00685058" w:rsidRDefault="00685058" w:rsidP="00685058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Subjekt OÚ může uplatnit: </w:t>
            </w:r>
          </w:p>
          <w:p w14:paraId="5A00A0E9" w14:textId="77777777"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právo na přístup k osobním údajům (čl. 15 GDPR )</w:t>
            </w:r>
          </w:p>
          <w:p w14:paraId="652A018E" w14:textId="77777777"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opravu – doplnění (čl. 16 GDPR)</w:t>
            </w:r>
          </w:p>
          <w:p w14:paraId="178A888B" w14:textId="77777777"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výmaz (právo být zapomenut) – (čl. 17 GDPR)</w:t>
            </w:r>
          </w:p>
          <w:p w14:paraId="38A4FBD0" w14:textId="77777777"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omezení zpracování (čl. 18 GDPR)</w:t>
            </w:r>
          </w:p>
          <w:p w14:paraId="2C5D20B2" w14:textId="77777777"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přenositelnost osobních údajů (čl. 20 GDPR)</w:t>
            </w:r>
          </w:p>
          <w:p w14:paraId="0BBC271B" w14:textId="77777777" w:rsidR="00A46F0A" w:rsidRP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podat stížnost u dozorového úřadu (čl. 77 GDPR)</w:t>
            </w:r>
          </w:p>
        </w:tc>
      </w:tr>
    </w:tbl>
    <w:p w14:paraId="266E5449" w14:textId="77777777" w:rsidR="00C46496" w:rsidRDefault="00C46496" w:rsidP="00D94809">
      <w:pPr>
        <w:spacing w:after="0"/>
        <w:rPr>
          <w:b/>
          <w:bCs/>
        </w:rPr>
      </w:pPr>
    </w:p>
    <w:sectPr w:rsidR="00C46496" w:rsidSect="00D9480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4FAD" w14:textId="77777777" w:rsidR="009C6496" w:rsidRDefault="009C6496" w:rsidP="008715CE">
      <w:pPr>
        <w:spacing w:after="0" w:line="240" w:lineRule="auto"/>
      </w:pPr>
      <w:r>
        <w:separator/>
      </w:r>
    </w:p>
  </w:endnote>
  <w:endnote w:type="continuationSeparator" w:id="0">
    <w:p w14:paraId="6041CA79" w14:textId="77777777" w:rsidR="009C6496" w:rsidRDefault="009C6496" w:rsidP="0087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-pro">
    <w:altName w:val="Times New Roman"/>
    <w:charset w:val="00"/>
    <w:family w:val="auto"/>
    <w:pitch w:val="default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752020"/>
      <w:docPartObj>
        <w:docPartGallery w:val="Page Numbers (Bottom of Page)"/>
        <w:docPartUnique/>
      </w:docPartObj>
    </w:sdtPr>
    <w:sdtContent>
      <w:p w14:paraId="3654ACAA" w14:textId="77777777" w:rsidR="001C1045" w:rsidRDefault="001C104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112">
          <w:rPr>
            <w:noProof/>
          </w:rPr>
          <w:t>4</w:t>
        </w:r>
        <w:r>
          <w:fldChar w:fldCharType="end"/>
        </w:r>
      </w:p>
    </w:sdtContent>
  </w:sdt>
  <w:p w14:paraId="6970BFA3" w14:textId="77777777" w:rsidR="001C1045" w:rsidRDefault="001C10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7FED" w14:textId="77777777" w:rsidR="009C6496" w:rsidRDefault="009C6496" w:rsidP="008715CE">
      <w:pPr>
        <w:spacing w:after="0" w:line="240" w:lineRule="auto"/>
      </w:pPr>
      <w:r>
        <w:separator/>
      </w:r>
    </w:p>
  </w:footnote>
  <w:footnote w:type="continuationSeparator" w:id="0">
    <w:p w14:paraId="1057A940" w14:textId="77777777" w:rsidR="009C6496" w:rsidRDefault="009C6496" w:rsidP="0087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31AF" w14:textId="7BE54092" w:rsidR="003D5781" w:rsidRPr="003D5781" w:rsidRDefault="00ED7C19" w:rsidP="003D5781">
    <w:pPr>
      <w:pStyle w:val="Zhlav"/>
      <w:jc w:val="right"/>
      <w:rPr>
        <w:rFonts w:ascii="Garamond" w:hAnsi="Garamond"/>
      </w:rPr>
    </w:pPr>
    <w:proofErr w:type="spellStart"/>
    <w:r>
      <w:rPr>
        <w:rFonts w:ascii="Garamond" w:hAnsi="Garamond"/>
      </w:rPr>
      <w:t>Spr</w:t>
    </w:r>
    <w:proofErr w:type="spellEnd"/>
    <w:r>
      <w:rPr>
        <w:rFonts w:ascii="Garamond" w:hAnsi="Garamond"/>
      </w:rPr>
      <w:t xml:space="preserve"> 257/2026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97A"/>
    <w:multiLevelType w:val="hybridMultilevel"/>
    <w:tmpl w:val="40FE9BF2"/>
    <w:lvl w:ilvl="0" w:tplc="292857E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19007C"/>
    <w:multiLevelType w:val="hybridMultilevel"/>
    <w:tmpl w:val="62D4D626"/>
    <w:lvl w:ilvl="0" w:tplc="182CAE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AC7A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D27D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E2CD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3812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3C90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5AB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98F7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766C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A363A15"/>
    <w:multiLevelType w:val="hybridMultilevel"/>
    <w:tmpl w:val="5DE6A3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253116">
    <w:abstractNumId w:val="1"/>
  </w:num>
  <w:num w:numId="2" w16cid:durableId="1893151574">
    <w:abstractNumId w:val="0"/>
  </w:num>
  <w:num w:numId="3" w16cid:durableId="87466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6D"/>
    <w:rsid w:val="00016AFA"/>
    <w:rsid w:val="00022618"/>
    <w:rsid w:val="0005200E"/>
    <w:rsid w:val="000845F8"/>
    <w:rsid w:val="000A67DE"/>
    <w:rsid w:val="000B61F7"/>
    <w:rsid w:val="000E2F66"/>
    <w:rsid w:val="000F0A68"/>
    <w:rsid w:val="000F2060"/>
    <w:rsid w:val="000F5C46"/>
    <w:rsid w:val="00121B73"/>
    <w:rsid w:val="00130150"/>
    <w:rsid w:val="00143CAA"/>
    <w:rsid w:val="0017315A"/>
    <w:rsid w:val="001845ED"/>
    <w:rsid w:val="001C1045"/>
    <w:rsid w:val="001D0AD2"/>
    <w:rsid w:val="0022526E"/>
    <w:rsid w:val="00225C43"/>
    <w:rsid w:val="00230AD2"/>
    <w:rsid w:val="00231124"/>
    <w:rsid w:val="002508A0"/>
    <w:rsid w:val="002508EA"/>
    <w:rsid w:val="00264286"/>
    <w:rsid w:val="00266324"/>
    <w:rsid w:val="00271511"/>
    <w:rsid w:val="00286679"/>
    <w:rsid w:val="002A432A"/>
    <w:rsid w:val="002B71C4"/>
    <w:rsid w:val="00311112"/>
    <w:rsid w:val="003120FE"/>
    <w:rsid w:val="00323457"/>
    <w:rsid w:val="00366329"/>
    <w:rsid w:val="00370577"/>
    <w:rsid w:val="003A64D0"/>
    <w:rsid w:val="003D5781"/>
    <w:rsid w:val="003E0098"/>
    <w:rsid w:val="003E2C01"/>
    <w:rsid w:val="0040779B"/>
    <w:rsid w:val="0041184A"/>
    <w:rsid w:val="00416D71"/>
    <w:rsid w:val="00424EDC"/>
    <w:rsid w:val="00440305"/>
    <w:rsid w:val="00471821"/>
    <w:rsid w:val="004B393F"/>
    <w:rsid w:val="004F2517"/>
    <w:rsid w:val="00520740"/>
    <w:rsid w:val="00554620"/>
    <w:rsid w:val="005D279E"/>
    <w:rsid w:val="005D555D"/>
    <w:rsid w:val="005D5D38"/>
    <w:rsid w:val="005F39D4"/>
    <w:rsid w:val="006004FC"/>
    <w:rsid w:val="00604034"/>
    <w:rsid w:val="00616D8E"/>
    <w:rsid w:val="00621767"/>
    <w:rsid w:val="006328CF"/>
    <w:rsid w:val="00633E40"/>
    <w:rsid w:val="0064343A"/>
    <w:rsid w:val="00651AE1"/>
    <w:rsid w:val="00661D6F"/>
    <w:rsid w:val="006837AA"/>
    <w:rsid w:val="00685058"/>
    <w:rsid w:val="00695E7E"/>
    <w:rsid w:val="006B06A1"/>
    <w:rsid w:val="006B7167"/>
    <w:rsid w:val="006D2E50"/>
    <w:rsid w:val="006D7751"/>
    <w:rsid w:val="006E16F7"/>
    <w:rsid w:val="00701835"/>
    <w:rsid w:val="00750305"/>
    <w:rsid w:val="0075094B"/>
    <w:rsid w:val="0076715E"/>
    <w:rsid w:val="007B39BF"/>
    <w:rsid w:val="007C35AF"/>
    <w:rsid w:val="007F71B4"/>
    <w:rsid w:val="007F729C"/>
    <w:rsid w:val="00822D48"/>
    <w:rsid w:val="008230D0"/>
    <w:rsid w:val="008241A9"/>
    <w:rsid w:val="008313DB"/>
    <w:rsid w:val="008715CE"/>
    <w:rsid w:val="008824A8"/>
    <w:rsid w:val="00886B65"/>
    <w:rsid w:val="008C0805"/>
    <w:rsid w:val="008C3837"/>
    <w:rsid w:val="008E1788"/>
    <w:rsid w:val="008F1367"/>
    <w:rsid w:val="008F15C4"/>
    <w:rsid w:val="008F5E2B"/>
    <w:rsid w:val="009000AE"/>
    <w:rsid w:val="00901689"/>
    <w:rsid w:val="0092683F"/>
    <w:rsid w:val="00957A49"/>
    <w:rsid w:val="009865E0"/>
    <w:rsid w:val="009C6496"/>
    <w:rsid w:val="00A3556D"/>
    <w:rsid w:val="00A46F0A"/>
    <w:rsid w:val="00A52598"/>
    <w:rsid w:val="00A61B74"/>
    <w:rsid w:val="00A64648"/>
    <w:rsid w:val="00A718D6"/>
    <w:rsid w:val="00A82C96"/>
    <w:rsid w:val="00AA1A0A"/>
    <w:rsid w:val="00AB2CF5"/>
    <w:rsid w:val="00AD46CE"/>
    <w:rsid w:val="00AD4B8B"/>
    <w:rsid w:val="00AE37A8"/>
    <w:rsid w:val="00B20095"/>
    <w:rsid w:val="00B40D3B"/>
    <w:rsid w:val="00B67D38"/>
    <w:rsid w:val="00B84C4D"/>
    <w:rsid w:val="00B87F62"/>
    <w:rsid w:val="00B87FF8"/>
    <w:rsid w:val="00B9329A"/>
    <w:rsid w:val="00B93DE9"/>
    <w:rsid w:val="00B94DCA"/>
    <w:rsid w:val="00BC1315"/>
    <w:rsid w:val="00BF29D5"/>
    <w:rsid w:val="00C2250E"/>
    <w:rsid w:val="00C25B56"/>
    <w:rsid w:val="00C367F5"/>
    <w:rsid w:val="00C46496"/>
    <w:rsid w:val="00C67B64"/>
    <w:rsid w:val="00C8105A"/>
    <w:rsid w:val="00C90D1B"/>
    <w:rsid w:val="00CA575F"/>
    <w:rsid w:val="00CA62E6"/>
    <w:rsid w:val="00CF1C2C"/>
    <w:rsid w:val="00D075F4"/>
    <w:rsid w:val="00D4407A"/>
    <w:rsid w:val="00D735D9"/>
    <w:rsid w:val="00D84911"/>
    <w:rsid w:val="00D94809"/>
    <w:rsid w:val="00DB7380"/>
    <w:rsid w:val="00DD196B"/>
    <w:rsid w:val="00DD60AF"/>
    <w:rsid w:val="00DF0E46"/>
    <w:rsid w:val="00E074E8"/>
    <w:rsid w:val="00E1299C"/>
    <w:rsid w:val="00E45AF1"/>
    <w:rsid w:val="00E4611F"/>
    <w:rsid w:val="00E73AA9"/>
    <w:rsid w:val="00E86D24"/>
    <w:rsid w:val="00EA573F"/>
    <w:rsid w:val="00EB1247"/>
    <w:rsid w:val="00ED7C19"/>
    <w:rsid w:val="00F104BE"/>
    <w:rsid w:val="00F2610F"/>
    <w:rsid w:val="00F33B12"/>
    <w:rsid w:val="00F63E9E"/>
    <w:rsid w:val="00F75383"/>
    <w:rsid w:val="00F81785"/>
    <w:rsid w:val="00F81C81"/>
    <w:rsid w:val="00F85DDD"/>
    <w:rsid w:val="00FD29B2"/>
    <w:rsid w:val="00FD3A20"/>
    <w:rsid w:val="00F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2803"/>
  <w15:docId w15:val="{2D218A84-8596-4334-86D2-540B18B7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56D"/>
    <w:pPr>
      <w:spacing w:after="0" w:line="240" w:lineRule="auto"/>
      <w:ind w:left="720"/>
      <w:contextualSpacing/>
    </w:pPr>
    <w:rPr>
      <w:rFonts w:ascii="Garamond" w:hAnsi="Garamond"/>
      <w:sz w:val="24"/>
    </w:rPr>
  </w:style>
  <w:style w:type="table" w:styleId="Mkatabulky">
    <w:name w:val="Table Grid"/>
    <w:basedOn w:val="Normlntabulka"/>
    <w:uiPriority w:val="59"/>
    <w:rsid w:val="00A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575F"/>
    <w:rPr>
      <w:b/>
      <w:bCs/>
    </w:rPr>
  </w:style>
  <w:style w:type="character" w:styleId="Zdraznn">
    <w:name w:val="Emphasis"/>
    <w:basedOn w:val="Standardnpsmoodstavce"/>
    <w:uiPriority w:val="20"/>
    <w:qFormat/>
    <w:rsid w:val="00CA575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57A49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CE"/>
  </w:style>
  <w:style w:type="paragraph" w:styleId="Zpat">
    <w:name w:val="footer"/>
    <w:basedOn w:val="Normln"/>
    <w:link w:val="Zpat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CE"/>
  </w:style>
  <w:style w:type="paragraph" w:styleId="Textbubliny">
    <w:name w:val="Balloon Text"/>
    <w:basedOn w:val="Normln"/>
    <w:link w:val="TextbublinyChar"/>
    <w:uiPriority w:val="99"/>
    <w:semiHidden/>
    <w:unhideWhenUsed/>
    <w:rsid w:val="003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4D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1045"/>
    <w:pPr>
      <w:suppressAutoHyphens/>
      <w:spacing w:before="120" w:after="3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1045"/>
    <w:rPr>
      <w:rFonts w:ascii="Arial" w:eastAsia="Calibri" w:hAnsi="Arial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1C1045"/>
    <w:pPr>
      <w:suppressAutoHyphens/>
      <w:spacing w:after="120"/>
    </w:pPr>
    <w:rPr>
      <w:rFonts w:ascii="Arial" w:eastAsia="Calibri" w:hAnsi="Arial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C1045"/>
    <w:rPr>
      <w:rFonts w:ascii="Arial" w:eastAsia="Calibri" w:hAnsi="Arial" w:cs="Times New Roman"/>
      <w:lang w:eastAsia="ar-SA"/>
    </w:rPr>
  </w:style>
  <w:style w:type="character" w:styleId="Odkaznakoment">
    <w:name w:val="annotation reference"/>
    <w:uiPriority w:val="99"/>
    <w:semiHidden/>
    <w:unhideWhenUsed/>
    <w:rsid w:val="001C1045"/>
    <w:rPr>
      <w:sz w:val="16"/>
      <w:szCs w:val="16"/>
    </w:rPr>
  </w:style>
  <w:style w:type="character" w:customStyle="1" w:styleId="Promnn">
    <w:name w:val="Proměnný"/>
    <w:rsid w:val="001C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6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2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6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14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88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71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61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85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33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28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46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anos@msp.just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osoud.kna.justice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osta@uoo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oou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1282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ksoud</dc:creator>
  <cp:lastModifiedBy>Siudová Lucie</cp:lastModifiedBy>
  <cp:revision>4</cp:revision>
  <cp:lastPrinted>2018-05-24T11:55:00Z</cp:lastPrinted>
  <dcterms:created xsi:type="dcterms:W3CDTF">2026-02-02T12:12:00Z</dcterms:created>
  <dcterms:modified xsi:type="dcterms:W3CDTF">2026-02-03T09:56:00Z</dcterms:modified>
</cp:coreProperties>
</file>