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6D69279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č.1</w:t>
      </w:r>
      <w:r>
        <w:rPr>
          <w:rFonts w:ascii="Garamond" w:hAnsi="Garamond" w:cs="Arial"/>
        </w:rPr>
        <w:t>: Přehled osob s přístupem do centrálních registrů</w:t>
      </w:r>
    </w:p>
    <w:p w14:paraId="50BE2544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č.2</w:t>
      </w:r>
      <w:r>
        <w:rPr>
          <w:rFonts w:ascii="Garamond" w:hAnsi="Garamond" w:cs="Arial"/>
        </w:rPr>
        <w:t>: Praxe justiční kandidátky</w:t>
      </w:r>
    </w:p>
    <w:p w14:paraId="29A87E77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Praxe justiční kandidátky</w:t>
      </w:r>
    </w:p>
    <w:p w14:paraId="40087020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pravomocně neskončených věcí soudního oddělení 13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685F9AC" w14:textId="7C9A94CE" w:rsidR="00921320" w:rsidRDefault="00921320" w:rsidP="00974A27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5F611571" w14:textId="77777777" w:rsidR="00974A27" w:rsidRDefault="00974A27" w:rsidP="00974A27"/>
    <w:p w14:paraId="1EA41C63" w14:textId="77777777" w:rsidR="00974A27" w:rsidRDefault="00974A27" w:rsidP="00974A27"/>
    <w:p w14:paraId="26E35740" w14:textId="77777777" w:rsidR="00974A27" w:rsidRDefault="00974A27" w:rsidP="00974A27"/>
    <w:p w14:paraId="0B9E6F3C" w14:textId="77777777" w:rsidR="00974A27" w:rsidRDefault="00974A27" w:rsidP="00974A27"/>
    <w:p w14:paraId="13BBF5EA" w14:textId="77777777" w:rsidR="00974A27" w:rsidRDefault="00974A27" w:rsidP="00974A27"/>
    <w:p w14:paraId="2033F5A7" w14:textId="77777777" w:rsidR="00974A27" w:rsidRDefault="00974A27" w:rsidP="00974A27"/>
    <w:p w14:paraId="029BFA45" w14:textId="77777777" w:rsidR="00974A27" w:rsidRDefault="00974A27" w:rsidP="00974A27"/>
    <w:p w14:paraId="18F7074F" w14:textId="77777777" w:rsidR="00974A27" w:rsidRDefault="00974A27" w:rsidP="00974A27"/>
    <w:p w14:paraId="4DD7EBA5" w14:textId="77777777" w:rsidR="00974A27" w:rsidRDefault="00974A27" w:rsidP="00974A27"/>
    <w:p w14:paraId="67565814" w14:textId="77777777" w:rsidR="00974A27" w:rsidRDefault="00974A27" w:rsidP="00974A27"/>
    <w:p w14:paraId="5467037F" w14:textId="77777777" w:rsidR="00974A27" w:rsidRDefault="00974A27" w:rsidP="00974A27"/>
    <w:p w14:paraId="41595414" w14:textId="77777777" w:rsidR="00974A27" w:rsidRDefault="00974A27" w:rsidP="00974A27"/>
    <w:p w14:paraId="36527BF3" w14:textId="77777777" w:rsidR="00974A27" w:rsidRPr="00974A27" w:rsidRDefault="00974A27" w:rsidP="00974A27"/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</w:t>
      </w:r>
      <w:r w:rsidRPr="001D0CA3">
        <w:rPr>
          <w:rFonts w:ascii="Garamond" w:hAnsi="Garamond" w:cs="Garamond"/>
        </w:rPr>
        <w:lastRenderedPageBreak/>
        <w:t xml:space="preserve">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</w:t>
      </w:r>
      <w:r w:rsidRPr="00BD5672">
        <w:rPr>
          <w:b w:val="0"/>
          <w:bCs w:val="0"/>
          <w:sz w:val="24"/>
          <w:szCs w:val="24"/>
        </w:rPr>
        <w:lastRenderedPageBreak/>
        <w:t>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666396D7" w14:textId="24C4E9AE" w:rsidR="009F309C" w:rsidRPr="009E2FBF" w:rsidRDefault="009F309C" w:rsidP="00CD5BA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29F94F73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, a to dle počátečních písmen povinných A - Ž.</w:t>
      </w:r>
    </w:p>
    <w:p w14:paraId="5C69A89F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5C76BE4A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Připravuje podklady pro předsedu soudu k úkonům daňové exekuce přesahující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.</w:t>
      </w:r>
    </w:p>
    <w:p w14:paraId="526F179D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0AE9D01C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Vede rejstřík </w:t>
      </w:r>
      <w:proofErr w:type="spellStart"/>
      <w:r w:rsidRPr="00C3468D">
        <w:rPr>
          <w:rFonts w:ascii="Garamond" w:hAnsi="Garamond" w:cs="Garamond"/>
          <w:spacing w:val="-1"/>
        </w:rPr>
        <w:t>Sd</w:t>
      </w:r>
      <w:proofErr w:type="spellEnd"/>
      <w:r w:rsidRPr="00C3468D">
        <w:rPr>
          <w:rFonts w:ascii="Garamond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1D7BC261" w14:textId="6CCF0082" w:rsidR="00832FBD" w:rsidRDefault="00C3468D" w:rsidP="00C3468D">
      <w:pPr>
        <w:jc w:val="both"/>
        <w:rPr>
          <w:spacing w:val="-1"/>
          <w:u w:val="single"/>
        </w:rPr>
      </w:pPr>
      <w:r w:rsidRPr="00C3468D">
        <w:rPr>
          <w:rFonts w:ascii="Garamond" w:hAnsi="Garamond" w:cs="Garamond"/>
          <w:bCs/>
          <w:spacing w:val="-1"/>
        </w:rPr>
        <w:t xml:space="preserve">Zapisovatelka pro rejstřík </w:t>
      </w:r>
      <w:proofErr w:type="spellStart"/>
      <w:r w:rsidRPr="00C3468D">
        <w:rPr>
          <w:rFonts w:ascii="Garamond" w:hAnsi="Garamond" w:cs="Garamond"/>
          <w:bCs/>
          <w:spacing w:val="-1"/>
        </w:rPr>
        <w:t>Sd</w:t>
      </w:r>
      <w:proofErr w:type="spellEnd"/>
      <w:r w:rsidRPr="00C3468D">
        <w:rPr>
          <w:rFonts w:ascii="Garamond" w:hAnsi="Garamond" w:cs="Garamond"/>
          <w:bCs/>
          <w:spacing w:val="-1"/>
        </w:rPr>
        <w:t>: Marcela Pánkov</w:t>
      </w:r>
      <w:r>
        <w:rPr>
          <w:rFonts w:ascii="Garamond" w:hAnsi="Garamond" w:cs="Garamond"/>
          <w:bCs/>
          <w:spacing w:val="-1"/>
        </w:rPr>
        <w:t>á</w:t>
      </w: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189DAB46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456D78A8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</w:r>
      <w:r w:rsidR="008F5A35">
        <w:rPr>
          <w:spacing w:val="-1"/>
        </w:rPr>
        <w:t>Lenka Launerová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059E62F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lastRenderedPageBreak/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63B31DD0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8F5A35">
        <w:rPr>
          <w:rFonts w:ascii="Garamond" w:hAnsi="Garamond"/>
          <w:bCs/>
        </w:rPr>
        <w:t>Lenka Launerová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lastRenderedPageBreak/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7C76DEFE" w14:textId="4E8E62E2" w:rsidR="00486A24" w:rsidRPr="007545EB" w:rsidRDefault="009F309C" w:rsidP="00921320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týdenním </w:t>
      </w:r>
      <w:r w:rsidRPr="004577D9">
        <w:rPr>
          <w:rStyle w:val="Nadpis1Char"/>
          <w:b w:val="0"/>
          <w:sz w:val="24"/>
          <w:szCs w:val="24"/>
        </w:rPr>
        <w:lastRenderedPageBreak/>
        <w:t>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lastRenderedPageBreak/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03DA71F2" w14:textId="27E58245" w:rsidR="006359BB" w:rsidRPr="00A86EE2" w:rsidRDefault="006359BB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lang w:eastAsia="en-US"/>
        </w:rPr>
        <w:t>Coufal Lukáš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lastRenderedPageBreak/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5D3E82B8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="00C3468D">
        <w:rPr>
          <w:b/>
          <w:spacing w:val="-1"/>
          <w:sz w:val="28"/>
          <w:szCs w:val="28"/>
        </w:rPr>
        <w:t>Andrea Navrátilová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A4BBF05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</w:r>
      <w:r w:rsidR="00C3468D">
        <w:rPr>
          <w:bCs/>
          <w:spacing w:val="-1"/>
        </w:rPr>
        <w:t>Tereza Dvořáková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lastRenderedPageBreak/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6CBE5E06" w:rsidR="0059213F" w:rsidRPr="00A86EE2" w:rsidRDefault="00C3468D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</w:t>
      </w:r>
      <w:r w:rsidR="0059213F" w:rsidRPr="00A86EE2">
        <w:rPr>
          <w:spacing w:val="-1"/>
        </w:rPr>
        <w:t xml:space="preserve">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53D86629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07188C66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lastRenderedPageBreak/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0E38F500" w14:textId="77777777" w:rsidR="00C3468D" w:rsidRPr="00A86EE2" w:rsidRDefault="0059213F" w:rsidP="00C3468D">
      <w:pPr>
        <w:pStyle w:val="Zkladntext"/>
        <w:kinsoku w:val="0"/>
        <w:overflowPunct w:val="0"/>
        <w:ind w:left="0"/>
      </w:pPr>
      <w:r w:rsidRPr="00A86EE2">
        <w:t>Tereza Dvořáková</w:t>
      </w:r>
      <w:r w:rsidR="00C3468D">
        <w:t xml:space="preserve"> </w:t>
      </w:r>
      <w:r w:rsidR="00C3468D" w:rsidRPr="00A86EE2">
        <w:t>(v rozsahu 0,5 pracovního úvazku)</w:t>
      </w:r>
    </w:p>
    <w:p w14:paraId="395B8A62" w14:textId="7BFAA489" w:rsidR="0059213F" w:rsidRDefault="00C3468D" w:rsidP="0059213F">
      <w:pPr>
        <w:pStyle w:val="Zkladntext"/>
        <w:kinsoku w:val="0"/>
        <w:overflowPunct w:val="0"/>
        <w:ind w:left="0"/>
      </w:pPr>
      <w:r>
        <w:t xml:space="preserve">Petra Karlíková </w:t>
      </w:r>
      <w:r w:rsidR="00AD68BB">
        <w:t>–</w:t>
      </w:r>
      <w:r>
        <w:t xml:space="preserve"> zapisovatelka</w:t>
      </w:r>
    </w:p>
    <w:p w14:paraId="37CF4E73" w14:textId="4B20958E" w:rsidR="00AD68BB" w:rsidRPr="00A86EE2" w:rsidRDefault="00AD68BB" w:rsidP="0059213F">
      <w:pPr>
        <w:pStyle w:val="Zkladntext"/>
        <w:kinsoku w:val="0"/>
        <w:overflowPunct w:val="0"/>
        <w:ind w:left="0"/>
      </w:pPr>
      <w:r>
        <w:t>Marcela Pazderková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73DFE5EE" w14:textId="77777777" w:rsidR="000A4AFC" w:rsidRDefault="000A4AFC" w:rsidP="00921320"/>
    <w:p w14:paraId="542E7A0F" w14:textId="77777777" w:rsidR="000A4AFC" w:rsidRDefault="000A4AFC" w:rsidP="00921320"/>
    <w:p w14:paraId="1E0D2E36" w14:textId="77777777" w:rsidR="000A4AFC" w:rsidRDefault="000A4AFC" w:rsidP="00921320"/>
    <w:p w14:paraId="2CAD8BCA" w14:textId="77777777" w:rsidR="000A4AFC" w:rsidRDefault="000A4AFC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0D5E55F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B56C3FA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94EAE84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68CC862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BCE3B6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1F4385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72B769" w14:textId="2D787A2F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60584003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s cizím prvkem rozh</w:t>
      </w:r>
      <w:r>
        <w:t>oduje soudní oddělení</w:t>
      </w:r>
      <w:r>
        <w:tab/>
        <w:t xml:space="preserve">10, 15, </w:t>
      </w:r>
      <w:r w:rsidRPr="00CF5822">
        <w:t>23</w:t>
      </w:r>
      <w:r>
        <w:t>, 27</w:t>
      </w:r>
    </w:p>
    <w:p w14:paraId="349C9DB7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pracovněprávní rozhoduje soudní oddělení</w:t>
      </w:r>
      <w:r w:rsidRPr="00CF5822">
        <w:tab/>
        <w:t>6, 8, 11, 18</w:t>
      </w:r>
    </w:p>
    <w:p w14:paraId="775B3B29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 xml:space="preserve">ochrana osobnosti člověka vyjma náhrad souvisejících s ublížením na zdraví </w:t>
      </w:r>
    </w:p>
    <w:p w14:paraId="01F99141" w14:textId="77777777" w:rsidR="009E00FE" w:rsidRPr="00CF5822" w:rsidRDefault="009E00FE" w:rsidP="009E00FE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</w:rPr>
      </w:pPr>
      <w:r w:rsidRPr="00CF5822">
        <w:t xml:space="preserve">a usmrcením dle § </w:t>
      </w:r>
      <w:proofErr w:type="gramStart"/>
      <w:r w:rsidRPr="00CF5822">
        <w:t>2958 – 2968</w:t>
      </w:r>
      <w:proofErr w:type="gramEnd"/>
      <w:r w:rsidRPr="00CF5822">
        <w:t xml:space="preserve"> občanského zákoníku</w:t>
      </w:r>
      <w:r w:rsidRPr="00CF5822">
        <w:tab/>
        <w:t>7, 17</w:t>
      </w:r>
      <w:r>
        <w:t>, 20</w:t>
      </w:r>
    </w:p>
    <w:p w14:paraId="5E4619BE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CF5822">
        <w:rPr>
          <w:bCs/>
        </w:rPr>
        <w:t>v</w:t>
      </w:r>
      <w:r>
        <w:rPr>
          <w:bCs/>
        </w:rPr>
        <w:t>ěci převedené z rejstříku EPR</w:t>
      </w:r>
      <w:r>
        <w:rPr>
          <w:bCs/>
        </w:rPr>
        <w:tab/>
      </w:r>
      <w:r w:rsidRPr="00CF5822">
        <w:rPr>
          <w:bCs/>
        </w:rPr>
        <w:t>6, 7, 8,</w:t>
      </w:r>
      <w:r>
        <w:rPr>
          <w:bCs/>
        </w:rPr>
        <w:t xml:space="preserve"> </w:t>
      </w:r>
      <w:r w:rsidRPr="00CF5822">
        <w:rPr>
          <w:bCs/>
        </w:rPr>
        <w:t>10, 11, 15, 17, 18, 20, 23</w:t>
      </w:r>
      <w:r>
        <w:rPr>
          <w:bCs/>
        </w:rPr>
        <w:t>, 27</w:t>
      </w:r>
    </w:p>
    <w:p w14:paraId="36E3F7E5" w14:textId="42567188" w:rsidR="003121A6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  <w:r>
        <w:t xml:space="preserve">věci majetkové                                                                                                       </w:t>
      </w:r>
      <w:r w:rsidRPr="00CF5822">
        <w:t xml:space="preserve"> </w:t>
      </w:r>
      <w:r>
        <w:t xml:space="preserve"> </w:t>
      </w:r>
      <w:r w:rsidRPr="00CF5822">
        <w:t>6, 7, 8,</w:t>
      </w:r>
      <w:r>
        <w:t xml:space="preserve"> </w:t>
      </w:r>
      <w:r w:rsidRPr="00CF5822">
        <w:t>10, 11, 15, 17, 18, 20, 23</w:t>
      </w:r>
      <w:r>
        <w:t>, 27</w:t>
      </w:r>
    </w:p>
    <w:p w14:paraId="244C4F5C" w14:textId="77777777" w:rsidR="009E00FE" w:rsidRPr="00E73905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A680144" w14:textId="7C312614" w:rsidR="008224C9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2C8363B" w14:textId="77777777" w:rsidR="009E00FE" w:rsidRPr="00E73905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C2EDA8" w14:textId="74C63C47" w:rsidR="003121A6" w:rsidRDefault="009E00FE" w:rsidP="009E00FE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</w:t>
      </w:r>
      <w:r>
        <w:rPr>
          <w:bCs/>
        </w:rPr>
        <w:t xml:space="preserve"> </w:t>
      </w:r>
      <w:r w:rsidRPr="00B66592">
        <w:rPr>
          <w:bCs/>
        </w:rPr>
        <w:t xml:space="preserve">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1B1B407C" w14:textId="77777777" w:rsidR="009E00FE" w:rsidRPr="00845A2C" w:rsidRDefault="009E00FE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0CE858AA" w14:textId="77777777" w:rsidR="00161565" w:rsidRDefault="00161565" w:rsidP="00A34425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</w:t>
      </w:r>
      <w:r w:rsidRPr="00C56A46">
        <w:lastRenderedPageBreak/>
        <w:t xml:space="preserve">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3B4280FF" w14:textId="77777777" w:rsidR="00541249" w:rsidRDefault="00541249" w:rsidP="001F2D23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4EE4886" w14:textId="39D51358" w:rsidR="007545EB" w:rsidRPr="003B06C4" w:rsidRDefault="00B01FF9" w:rsidP="003B06C4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2C5D983F" w14:textId="11221E3A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lastRenderedPageBreak/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proofErr w:type="gramStart"/>
      <w:r w:rsidRPr="00C56A46">
        <w:rPr>
          <w:spacing w:val="-2"/>
        </w:rPr>
        <w:t>ta</w:t>
      </w:r>
      <w:proofErr w:type="gramEnd"/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</w:t>
      </w:r>
      <w:r w:rsidRPr="00440264">
        <w:rPr>
          <w:rFonts w:ascii="Garamond" w:hAnsi="Garamond"/>
        </w:rPr>
        <w:lastRenderedPageBreak/>
        <w:t>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>Iva Pilná zejména ve věcech úschov a umořování listin, Mgr. Jitka Vítová, Mgr. Helena Krčová, Jana Kmoníčková, JUDr. Barbora 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lastRenderedPageBreak/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3E6FBE0C" w14:textId="77777777" w:rsidR="007545EB" w:rsidRDefault="007545EB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25DB7D7" w14:textId="2461290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lastRenderedPageBreak/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358235EC" w:rsidR="003121A6" w:rsidRPr="00845A2C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0FDDFD2" w:rsidR="003121A6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 xml:space="preserve">107, </w:t>
      </w:r>
      <w:r w:rsidRPr="00235871">
        <w:rPr>
          <w:spacing w:val="-1"/>
        </w:rPr>
        <w:t>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</w:t>
      </w:r>
      <w:r>
        <w:rPr>
          <w:spacing w:val="-1"/>
        </w:rPr>
        <w:t>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lastRenderedPageBreak/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45D80806" w14:textId="77777777" w:rsidR="007545EB" w:rsidRDefault="007545EB" w:rsidP="00715898">
      <w:pPr>
        <w:pStyle w:val="Nadpis1"/>
        <w:kinsoku w:val="0"/>
        <w:overflowPunct w:val="0"/>
        <w:ind w:left="0"/>
        <w:rPr>
          <w:spacing w:val="-1"/>
          <w:szCs w:val="24"/>
          <w:u w:val="single"/>
        </w:rPr>
      </w:pPr>
    </w:p>
    <w:p w14:paraId="4A24DFA0" w14:textId="53F7006C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2E8A24A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5D3CA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CEC8079" w14:textId="77777777" w:rsidR="003B06C4" w:rsidRDefault="003B06C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86038F0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CD3E453" w14:textId="77777777" w:rsidR="00715898" w:rsidRDefault="00715898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AF221A1" w14:textId="77777777" w:rsidR="000E4719" w:rsidRDefault="000E4719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06D489F" w14:textId="77777777" w:rsidR="000E4719" w:rsidRDefault="000E4719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660106C3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EFF0C92" w14:textId="77777777" w:rsidR="00715898" w:rsidRDefault="00715898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Cs w:val="24"/>
          <w:u w:val="single"/>
        </w:rPr>
      </w:pPr>
    </w:p>
    <w:p w14:paraId="734EE573" w14:textId="07EB0A84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lastRenderedPageBreak/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53F24EF5" w14:textId="6A7942BB" w:rsidR="00D43104" w:rsidRDefault="00D43104" w:rsidP="00D43104">
      <w:pPr>
        <w:jc w:val="both"/>
        <w:rPr>
          <w:rFonts w:ascii="Garamond" w:hAnsi="Garamond"/>
          <w:bCs/>
        </w:rPr>
      </w:pPr>
      <w:r w:rsidRPr="00D43104">
        <w:rPr>
          <w:rFonts w:ascii="Garamond" w:hAnsi="Garamond"/>
          <w:bCs/>
        </w:rPr>
        <w:t>S účinností od 1. 11. 2024 se zastavuje nápad věcí do oddělení 26 mimo agendy L, věcí obživlých po zastavení řízení, postoupených a dozorovaných věcí.</w:t>
      </w:r>
    </w:p>
    <w:p w14:paraId="1718417E" w14:textId="77777777" w:rsidR="00D43104" w:rsidRPr="00D43104" w:rsidRDefault="00D43104" w:rsidP="00D43104">
      <w:pPr>
        <w:jc w:val="both"/>
        <w:rPr>
          <w:rFonts w:ascii="Garamond" w:hAnsi="Garamond"/>
          <w:bCs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lastRenderedPageBreak/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30EBF073" w14:textId="77777777" w:rsidR="00D43104" w:rsidRDefault="00D43104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8954104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2E2C4B90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</w:r>
      <w:r w:rsidR="00C3468D">
        <w:t xml:space="preserve">Monika </w:t>
      </w:r>
      <w:proofErr w:type="spellStart"/>
      <w:r w:rsidR="00C3468D">
        <w:t>Maršálkvá</w:t>
      </w:r>
      <w:proofErr w:type="spellEnd"/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979E467" w14:textId="3767E665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 xml:space="preserve">. Dále vede rejstřík Rod ve věcech dětí mladších </w:t>
      </w:r>
      <w:r w:rsidRPr="00FE604A">
        <w:rPr>
          <w:rFonts w:ascii="Garamond" w:hAnsi="Garamond"/>
        </w:rPr>
        <w:lastRenderedPageBreak/>
        <w:t>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1343EB3B" w14:textId="77777777" w:rsidR="00D43104" w:rsidRDefault="00D43104" w:rsidP="000B02EE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D33C2BF" w14:textId="667435E1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 xml:space="preserve">Rozhoduje ve věcech posuzování činů jinak trestných spáchaných dětmi mladšími 15 let dle hlavy III. zák. č. 218/2003 Sb. ve věcech mládeže v rozsahu </w:t>
      </w:r>
      <w:r w:rsidRPr="009A706A">
        <w:lastRenderedPageBreak/>
        <w:t>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DD5CF2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78CD569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100C06D3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158ED9F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6DAE64A1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74247C0B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1363519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A80A405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5F5CDD2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3FCCD35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017BE88A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6474257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D069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7CE16A80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4A975EF6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33EECE3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55E7264C" w14:textId="77777777" w:rsidR="00BE34D4" w:rsidRDefault="00BE34D4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sz w:val="28"/>
          <w:u w:val="single"/>
        </w:rPr>
      </w:pPr>
    </w:p>
    <w:p w14:paraId="2F8468DB" w14:textId="7CB4AB50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197D966A" w14:textId="67240F9B" w:rsidR="00434DB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2007D286" w14:textId="77777777" w:rsidR="000F3B7B" w:rsidRPr="00A266E5" w:rsidRDefault="000F3B7B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1763D1B" w14:textId="77777777" w:rsidR="00D43104" w:rsidRDefault="00D43104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C3F2BE9" w14:textId="2FA3FEE4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6EE62F8F" w14:textId="77777777" w:rsidR="000F3B7B" w:rsidRDefault="000F3B7B" w:rsidP="00434DB5">
      <w:pPr>
        <w:pStyle w:val="Nadpis1"/>
        <w:kinsoku w:val="0"/>
        <w:overflowPunct w:val="0"/>
        <w:spacing w:before="179"/>
        <w:ind w:left="0" w:right="-30"/>
        <w:jc w:val="center"/>
        <w:rPr>
          <w:spacing w:val="-1"/>
          <w:u w:val="single"/>
        </w:rPr>
      </w:pPr>
    </w:p>
    <w:p w14:paraId="678BCB18" w14:textId="06F24F90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25A18DED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2D19CB84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363666FD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5934888F" w14:textId="77777777" w:rsidR="00D43104" w:rsidRDefault="00D43104" w:rsidP="007F437B">
      <w:pPr>
        <w:jc w:val="center"/>
        <w:rPr>
          <w:rFonts w:ascii="Garamond" w:hAnsi="Garamond" w:cs="Arial"/>
          <w:b/>
          <w:bCs/>
          <w:sz w:val="28"/>
        </w:rPr>
      </w:pPr>
    </w:p>
    <w:p w14:paraId="5A202F8A" w14:textId="6019CF5A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lastRenderedPageBreak/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21BAD7E3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FD83830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5A424DDC" w14:textId="77777777" w:rsidR="00D43104" w:rsidRDefault="00D43104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287FCC9" w14:textId="4F67C01F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A4AFC"/>
    <w:rsid w:val="000A6D5D"/>
    <w:rsid w:val="000B02EE"/>
    <w:rsid w:val="000D00DA"/>
    <w:rsid w:val="000E4719"/>
    <w:rsid w:val="000F37E2"/>
    <w:rsid w:val="000F3B7B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D0CA3"/>
    <w:rsid w:val="001F0DF1"/>
    <w:rsid w:val="001F2D23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3B06C4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5A6F12"/>
    <w:rsid w:val="006050BD"/>
    <w:rsid w:val="006324AB"/>
    <w:rsid w:val="006359BB"/>
    <w:rsid w:val="0064303A"/>
    <w:rsid w:val="00644DA9"/>
    <w:rsid w:val="00697D75"/>
    <w:rsid w:val="006A2E19"/>
    <w:rsid w:val="0070180A"/>
    <w:rsid w:val="00713036"/>
    <w:rsid w:val="00715898"/>
    <w:rsid w:val="00732558"/>
    <w:rsid w:val="007545EB"/>
    <w:rsid w:val="007A62C6"/>
    <w:rsid w:val="007B7428"/>
    <w:rsid w:val="007D3F3A"/>
    <w:rsid w:val="007F3D4F"/>
    <w:rsid w:val="007F437B"/>
    <w:rsid w:val="007F496E"/>
    <w:rsid w:val="00821A21"/>
    <w:rsid w:val="008224C9"/>
    <w:rsid w:val="00832FBD"/>
    <w:rsid w:val="00863310"/>
    <w:rsid w:val="008F5A35"/>
    <w:rsid w:val="00901653"/>
    <w:rsid w:val="00902CD8"/>
    <w:rsid w:val="00921320"/>
    <w:rsid w:val="0093427B"/>
    <w:rsid w:val="00943037"/>
    <w:rsid w:val="00944255"/>
    <w:rsid w:val="00951DD6"/>
    <w:rsid w:val="00974A27"/>
    <w:rsid w:val="0097569F"/>
    <w:rsid w:val="00980C54"/>
    <w:rsid w:val="00987E9B"/>
    <w:rsid w:val="009D25C4"/>
    <w:rsid w:val="009E00FE"/>
    <w:rsid w:val="009F309C"/>
    <w:rsid w:val="00A34425"/>
    <w:rsid w:val="00A34AB4"/>
    <w:rsid w:val="00A94915"/>
    <w:rsid w:val="00A96277"/>
    <w:rsid w:val="00AB4341"/>
    <w:rsid w:val="00AB4C94"/>
    <w:rsid w:val="00AB578B"/>
    <w:rsid w:val="00AD5520"/>
    <w:rsid w:val="00AD68BB"/>
    <w:rsid w:val="00AE44D7"/>
    <w:rsid w:val="00B01FF9"/>
    <w:rsid w:val="00B246D0"/>
    <w:rsid w:val="00B437BC"/>
    <w:rsid w:val="00B530B0"/>
    <w:rsid w:val="00B551A8"/>
    <w:rsid w:val="00B7412C"/>
    <w:rsid w:val="00B833C2"/>
    <w:rsid w:val="00B903FB"/>
    <w:rsid w:val="00BD5672"/>
    <w:rsid w:val="00BE328F"/>
    <w:rsid w:val="00BE3307"/>
    <w:rsid w:val="00BE34D4"/>
    <w:rsid w:val="00BF6EFD"/>
    <w:rsid w:val="00C01839"/>
    <w:rsid w:val="00C3468D"/>
    <w:rsid w:val="00C35048"/>
    <w:rsid w:val="00C50291"/>
    <w:rsid w:val="00C712C5"/>
    <w:rsid w:val="00CD5BA2"/>
    <w:rsid w:val="00CE0625"/>
    <w:rsid w:val="00CE0CD2"/>
    <w:rsid w:val="00CF71D7"/>
    <w:rsid w:val="00D402B9"/>
    <w:rsid w:val="00D43104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90</Pages>
  <Words>22138</Words>
  <Characters>130617</Characters>
  <Application>Microsoft Office Word</Application>
  <DocSecurity>0</DocSecurity>
  <Lines>1088</Lines>
  <Paragraphs>304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5</cp:revision>
  <dcterms:created xsi:type="dcterms:W3CDTF">2024-10-16T06:19:00Z</dcterms:created>
  <dcterms:modified xsi:type="dcterms:W3CDTF">2024-10-17T06:16:00Z</dcterms:modified>
</cp:coreProperties>
</file>