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904807" w14:paraId="51F1861B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1B60E4" w14:textId="77777777" w:rsidR="00607BC7" w:rsidRPr="0090480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904807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7B60F705" w14:textId="77777777" w:rsidR="00607BC7" w:rsidRPr="0090480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904807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39B2AD6C" w14:textId="77777777" w:rsidR="00607BC7" w:rsidRPr="00904807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904807">
        <w:rPr>
          <w:rFonts w:ascii="Garamond" w:hAnsi="Garamond" w:cs="Garamond"/>
        </w:rPr>
        <w:t>tel.: 377 867 611, fax: 377 867 650, e-mail: podatelna@osoud.tch.justice.cz, IDDS: h6nabrx</w:t>
      </w:r>
    </w:p>
    <w:p w14:paraId="16B3EC7E" w14:textId="77777777" w:rsidR="00607BC7" w:rsidRPr="00904807" w:rsidRDefault="00607BC7" w:rsidP="00607BC7">
      <w:pPr>
        <w:rPr>
          <w:rFonts w:ascii="Garamond" w:hAnsi="Garamond" w:cs="Garamond,Bold"/>
          <w:b/>
          <w:bCs/>
        </w:rPr>
      </w:pPr>
    </w:p>
    <w:p w14:paraId="0F84529A" w14:textId="77777777" w:rsidR="00607BC7" w:rsidRPr="00904807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723A91" w:rsidRPr="00904807" w14:paraId="1BF7C059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62619398" w14:textId="77777777" w:rsidR="00607BC7" w:rsidRPr="0090480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04807">
              <w:rPr>
                <w:rFonts w:ascii="Garamond" w:hAnsi="Garamond" w:cs="Garamond,Bold"/>
                <w:b/>
                <w:bCs/>
              </w:rPr>
              <w:t>NAŠE ZNAČKA: 25 Si 107/2024</w:t>
            </w:r>
          </w:p>
          <w:p w14:paraId="54680A28" w14:textId="77777777" w:rsidR="00607BC7" w:rsidRPr="0090480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04807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365A7580" w14:textId="0975846C" w:rsidR="00607BC7" w:rsidRPr="0090480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04807">
              <w:rPr>
                <w:rFonts w:ascii="Garamond" w:hAnsi="Garamond" w:cs="Garamond,Bold"/>
                <w:b/>
                <w:bCs/>
              </w:rPr>
              <w:t>VYŘIZUJE:</w:t>
            </w:r>
            <w:r w:rsidR="004E3F6F" w:rsidRPr="00904807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4E3F6F" w:rsidRPr="00904807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475A8897" w14:textId="77777777" w:rsidR="00607BC7" w:rsidRPr="00904807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904807">
              <w:rPr>
                <w:rFonts w:ascii="Garamond" w:hAnsi="Garamond" w:cs="Garamond,Bold"/>
                <w:b/>
                <w:bCs/>
              </w:rPr>
              <w:t>DNE: 4. 9.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0F787A47" w14:textId="77777777" w:rsidR="00607BC7" w:rsidRPr="00904807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A9AE5E9" w14:textId="77777777" w:rsidR="00607BC7" w:rsidRPr="00904807" w:rsidRDefault="00607BC7" w:rsidP="00607BC7">
      <w:pPr>
        <w:rPr>
          <w:rFonts w:ascii="Garamond" w:hAnsi="Garamond" w:cs="Garamond"/>
          <w:lang w:eastAsia="en-US"/>
        </w:rPr>
      </w:pPr>
    </w:p>
    <w:p w14:paraId="0CA37A58" w14:textId="77777777" w:rsidR="00723A91" w:rsidRPr="00904807" w:rsidRDefault="00723A91" w:rsidP="00607BC7">
      <w:pPr>
        <w:rPr>
          <w:rFonts w:ascii="Garamond" w:hAnsi="Garamond" w:cs="Garamond"/>
          <w:lang w:eastAsia="en-US"/>
        </w:rPr>
      </w:pPr>
    </w:p>
    <w:p w14:paraId="6CCF9D2A" w14:textId="77777777" w:rsidR="00723A91" w:rsidRPr="00904807" w:rsidRDefault="00723A91" w:rsidP="00607BC7">
      <w:pPr>
        <w:rPr>
          <w:rFonts w:ascii="Garamond" w:hAnsi="Garamond" w:cs="Garamond"/>
          <w:lang w:eastAsia="en-US"/>
        </w:rPr>
      </w:pPr>
    </w:p>
    <w:p w14:paraId="4EE0D511" w14:textId="77777777" w:rsidR="006F0956" w:rsidRPr="00904807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904807" w14:paraId="7F5FEA8C" w14:textId="77777777">
        <w:tc>
          <w:tcPr>
            <w:tcW w:w="2055" w:type="dxa"/>
            <w:vAlign w:val="bottom"/>
          </w:tcPr>
          <w:p w14:paraId="225ACF8F" w14:textId="77777777" w:rsidR="006F0956" w:rsidRPr="00904807" w:rsidRDefault="006F0956" w:rsidP="00A97124">
            <w:pPr>
              <w:rPr>
                <w:rFonts w:ascii="Garamond" w:hAnsi="Garamond"/>
                <w:b/>
                <w:bCs/>
              </w:rPr>
            </w:pPr>
            <w:r w:rsidRPr="00904807">
              <w:rPr>
                <w:rFonts w:ascii="Garamond" w:hAnsi="Garamond"/>
                <w:b/>
                <w:bCs/>
              </w:rPr>
              <w:t>Žadatel</w:t>
            </w:r>
            <w:r w:rsidR="007E741D" w:rsidRPr="00904807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10D96763" w14:textId="31E49428" w:rsidR="006F0956" w:rsidRPr="0090480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904807" w14:paraId="5BD4AEC8" w14:textId="77777777">
        <w:tc>
          <w:tcPr>
            <w:tcW w:w="2055" w:type="dxa"/>
          </w:tcPr>
          <w:p w14:paraId="1DB5F5CC" w14:textId="77777777" w:rsidR="006F0956" w:rsidRPr="0090480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06143219" w14:textId="7BF28312" w:rsidR="006F0956" w:rsidRPr="00904807" w:rsidRDefault="006F0956" w:rsidP="00A97124">
            <w:pPr>
              <w:rPr>
                <w:rFonts w:ascii="Garamond" w:hAnsi="Garamond"/>
              </w:rPr>
            </w:pPr>
          </w:p>
          <w:p w14:paraId="5E0F08A5" w14:textId="77777777" w:rsidR="004E3F6F" w:rsidRPr="00904807" w:rsidRDefault="004E3F6F" w:rsidP="00A97124">
            <w:pPr>
              <w:rPr>
                <w:rFonts w:ascii="Garamond" w:hAnsi="Garamond"/>
              </w:rPr>
            </w:pPr>
          </w:p>
          <w:p w14:paraId="68A34D2D" w14:textId="39CD84C5" w:rsidR="004E3F6F" w:rsidRPr="00904807" w:rsidRDefault="004E3F6F" w:rsidP="00A97124">
            <w:pPr>
              <w:rPr>
                <w:rFonts w:ascii="Garamond" w:hAnsi="Garamond"/>
                <w:b/>
                <w:bCs/>
              </w:rPr>
            </w:pPr>
            <w:r w:rsidRPr="00904807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904807" w14:paraId="341151A2" w14:textId="77777777">
        <w:tc>
          <w:tcPr>
            <w:tcW w:w="2055" w:type="dxa"/>
          </w:tcPr>
          <w:p w14:paraId="09421D07" w14:textId="77777777" w:rsidR="006F0956" w:rsidRPr="0090480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48605E60" w14:textId="77777777" w:rsidR="006F0956" w:rsidRPr="00904807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177575A4" w14:textId="77777777" w:rsidR="00E901A0" w:rsidRPr="00904807" w:rsidRDefault="00E901A0" w:rsidP="00A13D2C">
      <w:pPr>
        <w:rPr>
          <w:rFonts w:ascii="Garamond" w:hAnsi="Garamond"/>
        </w:rPr>
      </w:pPr>
    </w:p>
    <w:p w14:paraId="102EDA7D" w14:textId="77777777" w:rsidR="00607BC7" w:rsidRPr="00904807" w:rsidRDefault="00607BC7" w:rsidP="00A13D2C">
      <w:pPr>
        <w:rPr>
          <w:rFonts w:ascii="Garamond" w:hAnsi="Garamond" w:cs="Garamond"/>
        </w:rPr>
      </w:pPr>
    </w:p>
    <w:p w14:paraId="7080B2F1" w14:textId="77777777" w:rsidR="00863DC9" w:rsidRPr="00904807" w:rsidRDefault="00863DC9" w:rsidP="00723A91">
      <w:pPr>
        <w:jc w:val="both"/>
        <w:rPr>
          <w:rFonts w:ascii="Garamond" w:hAnsi="Garamond" w:cs="Garamond"/>
        </w:rPr>
      </w:pPr>
    </w:p>
    <w:p w14:paraId="6A4125D4" w14:textId="50C55E81" w:rsidR="00607BC7" w:rsidRPr="00904807" w:rsidRDefault="004E3F6F" w:rsidP="00723A91">
      <w:pPr>
        <w:jc w:val="both"/>
        <w:rPr>
          <w:rFonts w:ascii="Garamond" w:hAnsi="Garamond" w:cs="Garamond"/>
        </w:rPr>
      </w:pPr>
      <w:bookmarkStart w:id="0" w:name="Text2"/>
      <w:r w:rsidRPr="00904807">
        <w:rPr>
          <w:rFonts w:ascii="Garamond" w:hAnsi="Garamond" w:cs="Garamond"/>
        </w:rPr>
        <w:t>Vážená paní</w:t>
      </w:r>
      <w:bookmarkEnd w:id="0"/>
      <w:r w:rsidRPr="00904807">
        <w:rPr>
          <w:rFonts w:ascii="Garamond" w:hAnsi="Garamond" w:cs="Garamond"/>
        </w:rPr>
        <w:t>,</w:t>
      </w:r>
    </w:p>
    <w:p w14:paraId="605518C5" w14:textId="77777777" w:rsidR="00B0017F" w:rsidRPr="00904807" w:rsidRDefault="00B0017F" w:rsidP="00723A91">
      <w:pPr>
        <w:pStyle w:val="Zkladntext"/>
        <w:rPr>
          <w:rFonts w:ascii="Garamond" w:hAnsi="Garamond" w:cs="Times New Roman"/>
        </w:rPr>
      </w:pPr>
    </w:p>
    <w:p w14:paraId="0A33EB03" w14:textId="14E08A31" w:rsidR="00863DC9" w:rsidRPr="00904807" w:rsidRDefault="00863DC9" w:rsidP="00723A91">
      <w:pPr>
        <w:pStyle w:val="Zkladntext"/>
        <w:rPr>
          <w:rFonts w:ascii="Garamond" w:hAnsi="Garamond" w:cs="Times New Roman"/>
        </w:rPr>
      </w:pPr>
      <w:r w:rsidRPr="00904807">
        <w:rPr>
          <w:rFonts w:ascii="Garamond" w:hAnsi="Garamond" w:cs="Times New Roman"/>
        </w:rPr>
        <w:t>k Vaší žádosti</w:t>
      </w:r>
      <w:r w:rsidR="00B0017F" w:rsidRPr="00904807">
        <w:rPr>
          <w:rFonts w:ascii="Garamond" w:hAnsi="Garamond" w:cs="Times New Roman"/>
        </w:rPr>
        <w:t xml:space="preserve"> ze dne </w:t>
      </w:r>
      <w:r w:rsidR="004E3F6F" w:rsidRPr="00904807">
        <w:rPr>
          <w:rFonts w:ascii="Garamond" w:hAnsi="Garamond" w:cs="Times New Roman"/>
        </w:rPr>
        <w:t xml:space="preserve">28. 8. 2024 k jednotlivým bodům žádosti sděluji: </w:t>
      </w:r>
    </w:p>
    <w:p w14:paraId="3AC9CC04" w14:textId="77777777" w:rsidR="004E3F6F" w:rsidRPr="00904807" w:rsidRDefault="004E3F6F" w:rsidP="00723A91">
      <w:pPr>
        <w:pStyle w:val="Zkladntext"/>
        <w:rPr>
          <w:rFonts w:ascii="Garamond" w:hAnsi="Garamond" w:cs="Times New Roman"/>
        </w:rPr>
      </w:pPr>
    </w:p>
    <w:p w14:paraId="4B5DBEF5" w14:textId="686932A7" w:rsidR="004E3F6F" w:rsidRPr="00904807" w:rsidRDefault="004E3F6F" w:rsidP="00723A91">
      <w:pPr>
        <w:numPr>
          <w:ilvl w:val="0"/>
          <w:numId w:val="2"/>
        </w:numPr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O povinnosti k náhradě odměny a hotových výdajů uhrazených ustanovenému obhájci státem bylo vydáno</w:t>
      </w:r>
      <w:r w:rsidR="004378B5" w:rsidRPr="00904807">
        <w:rPr>
          <w:rFonts w:ascii="Garamond" w:hAnsi="Garamond"/>
          <w:lang w:eastAsia="en-US"/>
        </w:rPr>
        <w:t xml:space="preserve"> zdejším soudem</w:t>
      </w:r>
      <w:r w:rsidRPr="00904807">
        <w:rPr>
          <w:rFonts w:ascii="Garamond" w:hAnsi="Garamond"/>
          <w:lang w:eastAsia="en-US"/>
        </w:rPr>
        <w:t xml:space="preserve"> od r. 2021 do r. 2024 rozhodnutí:</w:t>
      </w:r>
    </w:p>
    <w:p w14:paraId="66738C21" w14:textId="77777777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2021      předepsáno 84 odměn advokátům</w:t>
      </w:r>
    </w:p>
    <w:p w14:paraId="79D3AC18" w14:textId="77777777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2022      předepsáno 62 odměn advokátům</w:t>
      </w:r>
    </w:p>
    <w:p w14:paraId="487E1A51" w14:textId="77777777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2023      předepsáno 70 odměn advokátům</w:t>
      </w:r>
    </w:p>
    <w:p w14:paraId="28C46A2C" w14:textId="18E27BB8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2024      předepsáno 36 odměn advokátům</w:t>
      </w:r>
      <w:r w:rsidR="00723A91" w:rsidRPr="00904807">
        <w:rPr>
          <w:rFonts w:ascii="Garamond" w:hAnsi="Garamond"/>
          <w:lang w:eastAsia="en-US"/>
        </w:rPr>
        <w:t>.</w:t>
      </w:r>
    </w:p>
    <w:p w14:paraId="1229DE2C" w14:textId="77777777" w:rsidR="004E3F6F" w:rsidRPr="00904807" w:rsidRDefault="004E3F6F" w:rsidP="00723A91">
      <w:pPr>
        <w:jc w:val="both"/>
        <w:rPr>
          <w:rFonts w:ascii="Garamond" w:hAnsi="Garamond"/>
          <w:lang w:eastAsia="en-US"/>
        </w:rPr>
      </w:pPr>
    </w:p>
    <w:p w14:paraId="31E0FE12" w14:textId="53B05B42" w:rsidR="004E3F6F" w:rsidRPr="00904807" w:rsidRDefault="004E3F6F" w:rsidP="00723A91">
      <w:pPr>
        <w:numPr>
          <w:ilvl w:val="0"/>
          <w:numId w:val="2"/>
        </w:numPr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 xml:space="preserve">Odsouzeným osobám byla uložena k náhradě odměny a hotových výdajů uhrazených ustanovenému obhájci státem od r. 2021 do r. 2024 </w:t>
      </w:r>
      <w:r w:rsidR="004378B5" w:rsidRPr="00904807">
        <w:rPr>
          <w:rFonts w:ascii="Garamond" w:hAnsi="Garamond"/>
          <w:lang w:eastAsia="en-US"/>
        </w:rPr>
        <w:t>částka:</w:t>
      </w:r>
    </w:p>
    <w:p w14:paraId="1DB73A24" w14:textId="361F2CFF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 xml:space="preserve">2021      celkem 1 679 408,10 </w:t>
      </w:r>
      <w:r w:rsidR="004378B5" w:rsidRPr="00904807">
        <w:rPr>
          <w:rFonts w:ascii="Garamond" w:hAnsi="Garamond"/>
          <w:lang w:eastAsia="en-US"/>
        </w:rPr>
        <w:t>K</w:t>
      </w:r>
      <w:r w:rsidRPr="00904807">
        <w:rPr>
          <w:rFonts w:ascii="Garamond" w:hAnsi="Garamond"/>
          <w:lang w:eastAsia="en-US"/>
        </w:rPr>
        <w:t>č</w:t>
      </w:r>
    </w:p>
    <w:p w14:paraId="193E4C20" w14:textId="77777777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2022      celkem 899 764,33 Kč</w:t>
      </w:r>
    </w:p>
    <w:p w14:paraId="05FB2153" w14:textId="77777777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2023      celkem 1 416 737,88 Kč</w:t>
      </w:r>
    </w:p>
    <w:p w14:paraId="0E3A1B63" w14:textId="43B0F685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2024      celkem 580 911,99 Kč</w:t>
      </w:r>
      <w:r w:rsidR="00723A91" w:rsidRPr="00904807">
        <w:rPr>
          <w:rFonts w:ascii="Garamond" w:hAnsi="Garamond"/>
          <w:lang w:eastAsia="en-US"/>
        </w:rPr>
        <w:t>.</w:t>
      </w:r>
    </w:p>
    <w:p w14:paraId="66395B36" w14:textId="77777777" w:rsidR="004E3F6F" w:rsidRPr="00904807" w:rsidRDefault="004E3F6F" w:rsidP="00723A91">
      <w:pPr>
        <w:jc w:val="both"/>
        <w:rPr>
          <w:rFonts w:ascii="Garamond" w:hAnsi="Garamond"/>
          <w:lang w:eastAsia="en-US"/>
        </w:rPr>
      </w:pPr>
    </w:p>
    <w:p w14:paraId="650DF910" w14:textId="258E6B8F" w:rsidR="004378B5" w:rsidRPr="00904807" w:rsidRDefault="004378B5" w:rsidP="00723A91">
      <w:pPr>
        <w:numPr>
          <w:ilvl w:val="0"/>
          <w:numId w:val="2"/>
        </w:numPr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K náhradě odměny a hotových výdajů uhrazených ustanovenému obhájci státem byla vymožena od r. 2021 do r. 2024 částka:</w:t>
      </w:r>
    </w:p>
    <w:p w14:paraId="10A2B88E" w14:textId="013C849D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 xml:space="preserve">2021      vymoženo 414 818,42 </w:t>
      </w:r>
      <w:r w:rsidR="004378B5" w:rsidRPr="00904807">
        <w:rPr>
          <w:rFonts w:ascii="Garamond" w:hAnsi="Garamond"/>
          <w:lang w:eastAsia="en-US"/>
        </w:rPr>
        <w:t>K</w:t>
      </w:r>
      <w:r w:rsidRPr="00904807">
        <w:rPr>
          <w:rFonts w:ascii="Garamond" w:hAnsi="Garamond"/>
          <w:lang w:eastAsia="en-US"/>
        </w:rPr>
        <w:t>č</w:t>
      </w:r>
    </w:p>
    <w:p w14:paraId="4D8ED54F" w14:textId="77777777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2022      vymoženo 345 273,82 Kč</w:t>
      </w:r>
    </w:p>
    <w:p w14:paraId="7B9A1A9A" w14:textId="77777777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2023      vymoženo 871 166,38 Kč</w:t>
      </w:r>
    </w:p>
    <w:p w14:paraId="61FB7D28" w14:textId="76EE1A63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2024      vymoženo 377 886,73 Kč</w:t>
      </w:r>
      <w:r w:rsidR="00723A91" w:rsidRPr="00904807">
        <w:rPr>
          <w:rFonts w:ascii="Garamond" w:hAnsi="Garamond"/>
          <w:lang w:eastAsia="en-US"/>
        </w:rPr>
        <w:t>.</w:t>
      </w:r>
    </w:p>
    <w:p w14:paraId="07FD4113" w14:textId="77777777" w:rsidR="004E3F6F" w:rsidRPr="00904807" w:rsidRDefault="004E3F6F" w:rsidP="00723A91">
      <w:pPr>
        <w:jc w:val="both"/>
        <w:rPr>
          <w:rFonts w:ascii="Garamond" w:hAnsi="Garamond"/>
          <w:lang w:eastAsia="en-US"/>
        </w:rPr>
      </w:pPr>
    </w:p>
    <w:p w14:paraId="729DB4B8" w14:textId="77777777" w:rsidR="004378B5" w:rsidRPr="00904807" w:rsidRDefault="004378B5" w:rsidP="00723A91">
      <w:pPr>
        <w:numPr>
          <w:ilvl w:val="0"/>
          <w:numId w:val="2"/>
        </w:numPr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 xml:space="preserve">Pohledávky prostřednictvím soudního </w:t>
      </w:r>
      <w:proofErr w:type="gramStart"/>
      <w:r w:rsidRPr="00904807">
        <w:rPr>
          <w:rFonts w:ascii="Garamond" w:hAnsi="Garamond"/>
          <w:lang w:eastAsia="en-US"/>
        </w:rPr>
        <w:t>exekutora</w:t>
      </w:r>
      <w:proofErr w:type="gramEnd"/>
      <w:r w:rsidRPr="00904807">
        <w:rPr>
          <w:rFonts w:ascii="Garamond" w:hAnsi="Garamond"/>
          <w:lang w:eastAsia="en-US"/>
        </w:rPr>
        <w:t xml:space="preserve"> resp. celního úřadu vzniklé z povinnosti odsouzeného k náhradě odměny a hotových výdajů uhrazených ustanovenému obhájci státem zdejší soud vymáhá od r. 2021 do r. 2024 v těchto případech:</w:t>
      </w:r>
    </w:p>
    <w:p w14:paraId="7CB75BE6" w14:textId="6EC765EA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lastRenderedPageBreak/>
        <w:t>2021      předáno exekutorovi 47 pohledávek</w:t>
      </w:r>
    </w:p>
    <w:p w14:paraId="214D79A6" w14:textId="77777777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2022      předáno exekutorovi 33 pohledávek</w:t>
      </w:r>
    </w:p>
    <w:p w14:paraId="344088C8" w14:textId="77777777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2023      předáno exekutorovi 8 pohledávek</w:t>
      </w:r>
    </w:p>
    <w:p w14:paraId="2ACC3254" w14:textId="6B8CF010" w:rsidR="004E3F6F" w:rsidRPr="00904807" w:rsidRDefault="004E3F6F" w:rsidP="00723A91">
      <w:pPr>
        <w:ind w:left="708"/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>2024      předáno celní správě 86 pohledávek</w:t>
      </w:r>
      <w:r w:rsidR="00723A91" w:rsidRPr="00904807">
        <w:rPr>
          <w:rFonts w:ascii="Garamond" w:hAnsi="Garamond"/>
          <w:lang w:eastAsia="en-US"/>
        </w:rPr>
        <w:t>.</w:t>
      </w:r>
    </w:p>
    <w:p w14:paraId="76B399E7" w14:textId="77777777" w:rsidR="004E3F6F" w:rsidRPr="00904807" w:rsidRDefault="004E3F6F" w:rsidP="00723A91">
      <w:pPr>
        <w:jc w:val="both"/>
        <w:rPr>
          <w:rFonts w:ascii="Garamond" w:hAnsi="Garamond"/>
          <w:lang w:eastAsia="en-US"/>
        </w:rPr>
      </w:pPr>
    </w:p>
    <w:p w14:paraId="63242781" w14:textId="6D0AD08B" w:rsidR="004E3F6F" w:rsidRPr="00904807" w:rsidRDefault="00723A91" w:rsidP="00723A91">
      <w:pPr>
        <w:jc w:val="both"/>
        <w:rPr>
          <w:rFonts w:ascii="Garamond" w:hAnsi="Garamond"/>
          <w:lang w:eastAsia="en-US"/>
        </w:rPr>
      </w:pPr>
      <w:r w:rsidRPr="00904807">
        <w:rPr>
          <w:rFonts w:ascii="Garamond" w:hAnsi="Garamond"/>
          <w:lang w:eastAsia="en-US"/>
        </w:rPr>
        <w:t xml:space="preserve">Ve vztahu k povinnosti odsouzeného hradit státu náklady vzniklé </w:t>
      </w:r>
      <w:r w:rsidR="004E3F6F" w:rsidRPr="00904807">
        <w:rPr>
          <w:rFonts w:ascii="Garamond" w:hAnsi="Garamond"/>
          <w:lang w:eastAsia="en-US"/>
        </w:rPr>
        <w:t>přibráním zmocněnce poškozeného</w:t>
      </w:r>
      <w:r w:rsidRPr="00904807">
        <w:rPr>
          <w:rFonts w:ascii="Garamond" w:hAnsi="Garamond"/>
          <w:lang w:eastAsia="en-US"/>
        </w:rPr>
        <w:t>, který má nárok na právní pomoc poskytovanou zmocněncem bezplatně nebo za sníženou odměnu – nelze k jednotlivým bodům odpovědět, tyto</w:t>
      </w:r>
      <w:r w:rsidR="004E3F6F" w:rsidRPr="00904807">
        <w:rPr>
          <w:rFonts w:ascii="Garamond" w:hAnsi="Garamond"/>
          <w:lang w:eastAsia="en-US"/>
        </w:rPr>
        <w:t xml:space="preserve"> neevidujeme</w:t>
      </w:r>
      <w:r w:rsidRPr="00904807">
        <w:rPr>
          <w:rFonts w:ascii="Garamond" w:hAnsi="Garamond"/>
          <w:lang w:eastAsia="en-US"/>
        </w:rPr>
        <w:t xml:space="preserve">. </w:t>
      </w:r>
    </w:p>
    <w:p w14:paraId="0B74CB5D" w14:textId="77777777" w:rsidR="004E3F6F" w:rsidRPr="00904807" w:rsidRDefault="004E3F6F" w:rsidP="00723A91">
      <w:pPr>
        <w:pStyle w:val="Zkladntext"/>
        <w:rPr>
          <w:rFonts w:ascii="Garamond" w:hAnsi="Garamond" w:cs="Times New Roman"/>
        </w:rPr>
      </w:pPr>
    </w:p>
    <w:p w14:paraId="04CB7A68" w14:textId="77777777" w:rsidR="00863DC9" w:rsidRPr="00904807" w:rsidRDefault="00863DC9" w:rsidP="00723A91">
      <w:pPr>
        <w:pStyle w:val="Zkladntext"/>
        <w:rPr>
          <w:rFonts w:ascii="Garamond" w:hAnsi="Garamond" w:cs="Times New Roman"/>
        </w:rPr>
      </w:pPr>
    </w:p>
    <w:p w14:paraId="0D23909F" w14:textId="77777777" w:rsidR="00607BC7" w:rsidRPr="00904807" w:rsidRDefault="00607BC7" w:rsidP="00723A91">
      <w:pPr>
        <w:jc w:val="both"/>
        <w:rPr>
          <w:rFonts w:ascii="Garamond" w:hAnsi="Garamond" w:cs="Garamond"/>
        </w:rPr>
      </w:pPr>
      <w:r w:rsidRPr="00904807">
        <w:rPr>
          <w:rFonts w:ascii="Garamond" w:hAnsi="Garamond" w:cs="Garamond"/>
        </w:rPr>
        <w:t>S pozdravem</w:t>
      </w:r>
    </w:p>
    <w:p w14:paraId="286FD704" w14:textId="77777777" w:rsidR="00607BC7" w:rsidRPr="00904807" w:rsidRDefault="00607BC7" w:rsidP="00723A91">
      <w:pPr>
        <w:jc w:val="both"/>
        <w:rPr>
          <w:rFonts w:ascii="Garamond" w:hAnsi="Garamond" w:cs="Garamond"/>
        </w:rPr>
      </w:pPr>
    </w:p>
    <w:p w14:paraId="65987138" w14:textId="77777777" w:rsidR="00863DC9" w:rsidRPr="00904807" w:rsidRDefault="00863DC9" w:rsidP="00723A91">
      <w:pPr>
        <w:jc w:val="both"/>
        <w:rPr>
          <w:rFonts w:ascii="Garamond" w:hAnsi="Garamond" w:cs="Garamond"/>
        </w:rPr>
      </w:pPr>
    </w:p>
    <w:p w14:paraId="39E6272F" w14:textId="744D93EC" w:rsidR="004D45AD" w:rsidRPr="00904807" w:rsidRDefault="00607BC7" w:rsidP="00723A91">
      <w:pPr>
        <w:jc w:val="both"/>
        <w:rPr>
          <w:rFonts w:ascii="Garamond" w:hAnsi="Garamond" w:cs="Garamond"/>
        </w:rPr>
      </w:pPr>
      <w:r w:rsidRPr="00904807">
        <w:rPr>
          <w:rFonts w:ascii="Garamond" w:hAnsi="Garamond" w:cs="Garamond"/>
        </w:rPr>
        <w:t>M</w:t>
      </w:r>
      <w:r w:rsidR="00723A91" w:rsidRPr="00904807">
        <w:rPr>
          <w:rFonts w:ascii="Garamond" w:hAnsi="Garamond" w:cs="Garamond"/>
        </w:rPr>
        <w:t xml:space="preserve">artina </w:t>
      </w:r>
      <w:proofErr w:type="spellStart"/>
      <w:r w:rsidR="00723A91" w:rsidRPr="00904807">
        <w:rPr>
          <w:rFonts w:ascii="Garamond" w:hAnsi="Garamond" w:cs="Garamond"/>
        </w:rPr>
        <w:t>Graclík</w:t>
      </w:r>
      <w:r w:rsidRPr="00904807">
        <w:rPr>
          <w:rFonts w:ascii="Garamond" w:hAnsi="Garamond" w:cs="Garamond"/>
        </w:rPr>
        <w:t>o</w:t>
      </w:r>
      <w:r w:rsidR="00723A91" w:rsidRPr="00904807">
        <w:rPr>
          <w:rFonts w:ascii="Garamond" w:hAnsi="Garamond" w:cs="Garamond"/>
        </w:rPr>
        <w:t>vá</w:t>
      </w:r>
      <w:proofErr w:type="spellEnd"/>
    </w:p>
    <w:p w14:paraId="6956E718" w14:textId="273CD251" w:rsidR="00723A91" w:rsidRPr="00904807" w:rsidRDefault="00723A91" w:rsidP="00723A91">
      <w:pPr>
        <w:jc w:val="both"/>
        <w:rPr>
          <w:rFonts w:ascii="Garamond" w:hAnsi="Garamond" w:cs="Garamond"/>
        </w:rPr>
      </w:pPr>
      <w:r w:rsidRPr="00904807">
        <w:rPr>
          <w:rFonts w:ascii="Garamond" w:hAnsi="Garamond" w:cs="Garamond"/>
        </w:rPr>
        <w:t>ředitelka správy soudu</w:t>
      </w:r>
    </w:p>
    <w:p w14:paraId="3F49671C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2F974396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3B2BFE5D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5F8141E6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6D0D04DB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7E0FA672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4F24096B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3181758B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30AEC4C1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28347B11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48A5A77C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10FB05FF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71C5CEA8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2FFE9E07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09AE4ADB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3A596439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0B55126E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6B7C12B8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69103597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3C298004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4DB23AF6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3A155C28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41EE1416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4BD4EF8F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1AA681C2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487CBAD1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4ECC3A59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3FDCFAEF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p w14:paraId="05FF81F7" w14:textId="77777777" w:rsidR="001B2307" w:rsidRPr="00904807" w:rsidRDefault="001B2307" w:rsidP="00723A91">
      <w:pPr>
        <w:jc w:val="both"/>
        <w:rPr>
          <w:rFonts w:ascii="Garamond" w:hAnsi="Garamond" w:cs="Garamond"/>
        </w:rPr>
      </w:pPr>
    </w:p>
    <w:sectPr w:rsidR="001B2307" w:rsidRPr="00904807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AC70" w14:textId="77777777" w:rsidR="00AC3E06" w:rsidRDefault="00AC3E06" w:rsidP="00C95090">
      <w:r>
        <w:separator/>
      </w:r>
    </w:p>
  </w:endnote>
  <w:endnote w:type="continuationSeparator" w:id="0">
    <w:p w14:paraId="67C18809" w14:textId="77777777" w:rsidR="00AC3E06" w:rsidRDefault="00AC3E06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9458" w14:textId="77777777" w:rsidR="00AC3E06" w:rsidRDefault="00AC3E06" w:rsidP="00C95090">
      <w:r>
        <w:separator/>
      </w:r>
    </w:p>
  </w:footnote>
  <w:footnote w:type="continuationSeparator" w:id="0">
    <w:p w14:paraId="2077AC11" w14:textId="77777777" w:rsidR="00AC3E06" w:rsidRDefault="00AC3E06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454F" w14:textId="4F03B721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107/2024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A017E"/>
    <w:multiLevelType w:val="hybridMultilevel"/>
    <w:tmpl w:val="D9788A00"/>
    <w:lvl w:ilvl="0" w:tplc="D44871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519B0"/>
    <w:multiLevelType w:val="hybridMultilevel"/>
    <w:tmpl w:val="6888BA0A"/>
    <w:lvl w:ilvl="0" w:tplc="4DC281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63344">
    <w:abstractNumId w:val="1"/>
  </w:num>
  <w:num w:numId="2" w16cid:durableId="200142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4/09/04 18:21:5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07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B0B97"/>
    <w:rsid w:val="000F230C"/>
    <w:rsid w:val="001002C2"/>
    <w:rsid w:val="00111E7E"/>
    <w:rsid w:val="001355CE"/>
    <w:rsid w:val="0019203D"/>
    <w:rsid w:val="001951DC"/>
    <w:rsid w:val="001955FF"/>
    <w:rsid w:val="001B2307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378B5"/>
    <w:rsid w:val="00440A42"/>
    <w:rsid w:val="00485C88"/>
    <w:rsid w:val="0049669C"/>
    <w:rsid w:val="004D45AD"/>
    <w:rsid w:val="004D746C"/>
    <w:rsid w:val="004E0A68"/>
    <w:rsid w:val="004E3F6F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3A91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04807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C3E06"/>
    <w:rsid w:val="00AE6245"/>
    <w:rsid w:val="00B0017F"/>
    <w:rsid w:val="00B10241"/>
    <w:rsid w:val="00B208DD"/>
    <w:rsid w:val="00B20D50"/>
    <w:rsid w:val="00B23E13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9233D"/>
    <w:rsid w:val="00DA741E"/>
    <w:rsid w:val="00DD6A5D"/>
    <w:rsid w:val="00DE0587"/>
    <w:rsid w:val="00DE3CA6"/>
    <w:rsid w:val="00DE7394"/>
    <w:rsid w:val="00E258E5"/>
    <w:rsid w:val="00E27A66"/>
    <w:rsid w:val="00E32EC7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2A358"/>
  <w14:defaultImageDpi w14:val="0"/>
  <w15:docId w15:val="{62E83146-A880-40D0-869F-AAA3E8BC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Košvanec Roman</cp:lastModifiedBy>
  <cp:revision>2</cp:revision>
  <cp:lastPrinted>2024-09-04T16:51:00Z</cp:lastPrinted>
  <dcterms:created xsi:type="dcterms:W3CDTF">2024-09-05T11:31:00Z</dcterms:created>
  <dcterms:modified xsi:type="dcterms:W3CDTF">2024-09-05T11:31:00Z</dcterms:modified>
</cp:coreProperties>
</file>