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4B4D4" w14:textId="77777777" w:rsidR="003926CC" w:rsidRPr="004B174D" w:rsidRDefault="00E77DA8" w:rsidP="004A74B8">
      <w:pPr>
        <w:jc w:val="center"/>
      </w:pPr>
      <w:r>
        <w:rPr>
          <w:noProof/>
        </w:rPr>
        <w:drawing>
          <wp:anchor distT="1800225" distB="360045" distL="114300" distR="114300" simplePos="0" relativeHeight="251657728" behindDoc="0" locked="1" layoutInCell="1" allowOverlap="0" wp14:anchorId="524AFA04" wp14:editId="4726970B">
            <wp:simplePos x="0" y="0"/>
            <wp:positionH relativeFrom="page">
              <wp:align>center</wp:align>
            </wp:positionH>
            <wp:positionV relativeFrom="page">
              <wp:posOffset>1800225</wp:posOffset>
            </wp:positionV>
            <wp:extent cx="1259840" cy="1440180"/>
            <wp:effectExtent l="0" t="0" r="0" b="7620"/>
            <wp:wrapTopAndBottom/>
            <wp:docPr id="4" name="obrázek 4" descr="znak rozsudek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nak rozsudek 2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840" cy="1440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26CC" w:rsidRPr="004B174D">
        <w:t>ČESKÁ REPUBLIKA</w:t>
      </w:r>
    </w:p>
    <w:p w14:paraId="794A1116" w14:textId="77777777" w:rsidR="003926CC" w:rsidRPr="004B174D" w:rsidRDefault="003926CC" w:rsidP="003926CC">
      <w:pPr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ROZSUDEK</w:t>
      </w:r>
    </w:p>
    <w:p w14:paraId="297E84A9" w14:textId="77777777" w:rsidR="003926CC" w:rsidRPr="004B174D" w:rsidRDefault="003926CC" w:rsidP="003926CC">
      <w:pPr>
        <w:spacing w:after="480"/>
        <w:jc w:val="center"/>
        <w:rPr>
          <w:b/>
          <w:bCs/>
          <w:sz w:val="40"/>
          <w:szCs w:val="40"/>
        </w:rPr>
      </w:pPr>
      <w:r w:rsidRPr="004B174D">
        <w:rPr>
          <w:b/>
          <w:bCs/>
          <w:sz w:val="40"/>
          <w:szCs w:val="40"/>
        </w:rPr>
        <w:t>JMÉNEM REPUBLIKY</w:t>
      </w:r>
      <w:r w:rsidR="00F11093">
        <w:rPr>
          <w:b/>
          <w:bCs/>
          <w:sz w:val="40"/>
          <w:szCs w:val="40"/>
        </w:rPr>
        <w:br/>
      </w:r>
      <w:r w:rsidR="00F11093" w:rsidRPr="00F11093">
        <w:rPr>
          <w:bCs/>
          <w:sz w:val="20"/>
        </w:rPr>
        <w:t>(anonymizovaný opis)</w:t>
      </w:r>
    </w:p>
    <w:p w14:paraId="75B4110C" w14:textId="0025B7A5" w:rsidR="004A5914" w:rsidRPr="00DA4F01" w:rsidRDefault="00DA4F01" w:rsidP="00DA4F01">
      <w:r w:rsidRPr="00DA4F01">
        <w:t xml:space="preserve">Okresní soud v Tachově rozhodl v senátě složeném z předsedkyně senátu Mgr. Michaely Řezníčkové a přísedících Bc. Ladislavy Šťastné a Václava </w:t>
      </w:r>
      <w:proofErr w:type="spellStart"/>
      <w:r w:rsidRPr="00DA4F01">
        <w:t>Stuchla</w:t>
      </w:r>
      <w:proofErr w:type="spellEnd"/>
      <w:r w:rsidRPr="00DA4F01">
        <w:t xml:space="preserve"> ve veřejném zasedání konaném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>] v </w:t>
      </w:r>
      <w:r>
        <w:t>[</w:t>
      </w:r>
      <w:r w:rsidRPr="00DA4F01">
        <w:rPr>
          <w:shd w:val="clear" w:color="auto" w:fill="CCCCCC"/>
        </w:rPr>
        <w:t>obec</w:t>
      </w:r>
      <w:r w:rsidRPr="00DA4F01">
        <w:t>]</w:t>
      </w:r>
    </w:p>
    <w:p w14:paraId="17FEE868" w14:textId="77777777" w:rsidR="00F11093" w:rsidRDefault="00F11093" w:rsidP="008A0B5D">
      <w:pPr>
        <w:pStyle w:val="Nadpisstirozsudku"/>
      </w:pPr>
      <w:r w:rsidRPr="00F11093">
        <w:t>takto</w:t>
      </w:r>
      <w:r>
        <w:t>:</w:t>
      </w:r>
    </w:p>
    <w:p w14:paraId="5E925EFD" w14:textId="6166DA37" w:rsidR="00DA4F01" w:rsidRDefault="00DA4F01" w:rsidP="00DA4F01">
      <w:pPr>
        <w:pStyle w:val="Neslovanvrok"/>
      </w:pPr>
      <w:r w:rsidRPr="00DA4F01">
        <w:t>Podle § 314r odst. 4 trestního řádu soud schvaluje dohodu o vině a trestu, která byla uzavřena v sídle Okresního státního zastupitelství v 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>] mezi státním zástupcem Okresního státního zastupitelství v 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 Mgr.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 a obviněnými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za přítomnosti jeho obhájce Mgr.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za přítomnosti jeho obhájce JUDr.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za přítomnosti jeho obhájce JUDr.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AK 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], a právnickou osobou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IČO</w:t>
      </w:r>
      <w:r w:rsidRPr="00DA4F01">
        <w:t xml:space="preserve">], za přítomnosti obhájce Mgr.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>] a</w:t>
      </w:r>
    </w:p>
    <w:p w14:paraId="6FC047B7" w14:textId="77777777" w:rsidR="00DA4F01" w:rsidRDefault="00DA4F01" w:rsidP="00DA4F01">
      <w:pPr>
        <w:pStyle w:val="Neslovanvrok"/>
        <w:jc w:val="left"/>
      </w:pPr>
      <w:r w:rsidRPr="00DA4F01">
        <w:t>obvinění</w:t>
      </w:r>
    </w:p>
    <w:p w14:paraId="4E352E45" w14:textId="7D3C194D" w:rsidR="00DA4F01" w:rsidRDefault="00DA4F01" w:rsidP="00DA4F01">
      <w:pPr>
        <w:pStyle w:val="slovanvrok"/>
      </w:pP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narozený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>] v 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trvale bytem </w:t>
      </w:r>
      <w:r>
        <w:t>[</w:t>
      </w:r>
      <w:r w:rsidRPr="00DA4F01">
        <w:rPr>
          <w:shd w:val="clear" w:color="auto" w:fill="CCCCCC"/>
        </w:rPr>
        <w:t>adresa obžalovaného</w:t>
      </w:r>
      <w:r w:rsidRPr="00DA4F01">
        <w:t xml:space="preserve">], adresou pro účely doručování </w:t>
      </w:r>
      <w:r>
        <w:t>[</w:t>
      </w:r>
      <w:r w:rsidRPr="00DA4F01">
        <w:rPr>
          <w:shd w:val="clear" w:color="auto" w:fill="CCCCCC"/>
        </w:rPr>
        <w:t>ulice a číslo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PSČ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>], OSVČ,</w:t>
      </w:r>
    </w:p>
    <w:p w14:paraId="36443AA0" w14:textId="28F5D798" w:rsidR="00DA4F01" w:rsidRDefault="00DA4F01" w:rsidP="00DA4F01">
      <w:pPr>
        <w:pStyle w:val="slovanvrok"/>
      </w:pP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narozený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>] v 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trvale bytem a táž adresa pro účely doručování </w:t>
      </w:r>
      <w:r>
        <w:t>[</w:t>
      </w:r>
      <w:r w:rsidRPr="00DA4F01">
        <w:rPr>
          <w:shd w:val="clear" w:color="auto" w:fill="CCCCCC"/>
        </w:rPr>
        <w:t>ulice a číslo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t. č. bytem </w:t>
      </w:r>
      <w:r>
        <w:t>[</w:t>
      </w:r>
      <w:r w:rsidRPr="00DA4F01">
        <w:rPr>
          <w:shd w:val="clear" w:color="auto" w:fill="CCCCCC"/>
        </w:rPr>
        <w:t>adresa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>], obsluha vysokozdvižného vozíku,</w:t>
      </w:r>
    </w:p>
    <w:p w14:paraId="16C9D9CE" w14:textId="591B9C25" w:rsidR="00DA4F01" w:rsidRDefault="00DA4F01" w:rsidP="00DA4F01">
      <w:pPr>
        <w:pStyle w:val="slovanvrok"/>
      </w:pP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narozený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>] v 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trvale bytem </w:t>
      </w:r>
      <w:r>
        <w:t>[</w:t>
      </w:r>
      <w:r w:rsidRPr="00DA4F01">
        <w:rPr>
          <w:shd w:val="clear" w:color="auto" w:fill="CCCCCC"/>
        </w:rPr>
        <w:t>adresa obžalovaného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adresa pro účely doručování </w:t>
      </w:r>
      <w:r>
        <w:t>[</w:t>
      </w:r>
      <w:r w:rsidRPr="00DA4F01">
        <w:rPr>
          <w:shd w:val="clear" w:color="auto" w:fill="CCCCCC"/>
        </w:rPr>
        <w:t>adresa obžalovaného, obžalované a obžalovaného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>], stavební technik, a</w:t>
      </w:r>
    </w:p>
    <w:p w14:paraId="7A1BCC15" w14:textId="680D5EA6" w:rsidR="00DA4F01" w:rsidRDefault="00DA4F01" w:rsidP="00DA4F01">
      <w:pPr>
        <w:pStyle w:val="slovanvrok"/>
      </w:pPr>
      <w:r>
        <w:lastRenderedPageBreak/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IČO</w:t>
      </w:r>
      <w:r w:rsidRPr="00DA4F01">
        <w:t xml:space="preserve">], se sídlem </w:t>
      </w:r>
      <w:r>
        <w:t>[</w:t>
      </w:r>
      <w:r w:rsidRPr="00DA4F01">
        <w:rPr>
          <w:shd w:val="clear" w:color="auto" w:fill="CCCCCC"/>
        </w:rPr>
        <w:t>adresa obžalovaného, obžalované a obžalovaného</w:t>
      </w:r>
      <w:r w:rsidRPr="00DA4F01">
        <w:t xml:space="preserve">], okres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jednající prostřednictvím jednatelky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narozené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 xml:space="preserve">], bytem </w:t>
      </w:r>
      <w:r>
        <w:t>[</w:t>
      </w:r>
      <w:r w:rsidRPr="00DA4F01">
        <w:rPr>
          <w:shd w:val="clear" w:color="auto" w:fill="CCCCCC"/>
        </w:rPr>
        <w:t>adresa obžalovaného</w:t>
      </w:r>
      <w:r w:rsidRPr="00DA4F01">
        <w:t>],</w:t>
      </w:r>
    </w:p>
    <w:p w14:paraId="5F6F07E3" w14:textId="77777777" w:rsidR="00DA4F01" w:rsidRDefault="00DA4F01" w:rsidP="00DA4F01">
      <w:pPr>
        <w:pStyle w:val="Neslovanvrok"/>
        <w:jc w:val="center"/>
        <w:rPr>
          <w:b/>
        </w:rPr>
      </w:pPr>
      <w:r w:rsidRPr="00DA4F01">
        <w:rPr>
          <w:b/>
        </w:rPr>
        <w:t>se uznávají vinnými, že</w:t>
      </w:r>
    </w:p>
    <w:p w14:paraId="52630D9E" w14:textId="1019170E" w:rsidR="00DA4F01" w:rsidRDefault="00DA4F01" w:rsidP="00DA4F01">
      <w:pPr>
        <w:pStyle w:val="Neslovanvrok"/>
        <w:jc w:val="left"/>
        <w:rPr>
          <w:b/>
        </w:rPr>
      </w:pPr>
      <w:r w:rsidRPr="00DA4F01">
        <w:rPr>
          <w:b/>
        </w:rPr>
        <w:t xml:space="preserve">1. obvinění </w:t>
      </w:r>
      <w:r>
        <w:rPr>
          <w:b/>
        </w:rPr>
        <w:t>[</w:t>
      </w:r>
      <w:r w:rsidRPr="00DA4F01">
        <w:rPr>
          <w:b/>
          <w:shd w:val="clear" w:color="auto" w:fill="CCCCCC"/>
        </w:rPr>
        <w:t>celé jméno obžalovaného</w:t>
      </w:r>
      <w:r w:rsidRPr="00DA4F01">
        <w:rPr>
          <w:b/>
        </w:rPr>
        <w:t xml:space="preserve">], </w:t>
      </w:r>
      <w:r>
        <w:rPr>
          <w:b/>
        </w:rPr>
        <w:t>[</w:t>
      </w:r>
      <w:r w:rsidRPr="00DA4F01">
        <w:rPr>
          <w:b/>
          <w:shd w:val="clear" w:color="auto" w:fill="CCCCCC"/>
        </w:rPr>
        <w:t>celé jméno obžalovaného</w:t>
      </w:r>
      <w:r w:rsidRPr="00DA4F01">
        <w:rPr>
          <w:b/>
        </w:rPr>
        <w:t xml:space="preserve">] </w:t>
      </w:r>
      <w:r>
        <w:rPr>
          <w:b/>
        </w:rPr>
        <w:t>[</w:t>
      </w:r>
      <w:r w:rsidRPr="00DA4F01">
        <w:rPr>
          <w:b/>
          <w:shd w:val="clear" w:color="auto" w:fill="CCCCCC"/>
        </w:rPr>
        <w:t>celé jméno obžalovaného</w:t>
      </w:r>
      <w:r w:rsidRPr="00DA4F01">
        <w:rPr>
          <w:b/>
        </w:rPr>
        <w:t>],</w:t>
      </w:r>
    </w:p>
    <w:p w14:paraId="61131348" w14:textId="2BE3A6D4" w:rsidR="00DA4F01" w:rsidRDefault="00DA4F01" w:rsidP="00DA4F01">
      <w:pPr>
        <w:pStyle w:val="Neslovanvrok"/>
      </w:pPr>
      <w:r w:rsidRPr="00DA4F01">
        <w:t xml:space="preserve">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>] v 08:00 hodin byla v </w:t>
      </w:r>
      <w:r>
        <w:t>[</w:t>
      </w:r>
      <w:r w:rsidRPr="00DA4F01">
        <w:rPr>
          <w:shd w:val="clear" w:color="auto" w:fill="CCCCCC"/>
        </w:rPr>
        <w:t>obec</w:t>
      </w:r>
      <w:r w:rsidRPr="00DA4F01">
        <w:t xml:space="preserve">], ulice </w:t>
      </w:r>
      <w:r>
        <w:t>[</w:t>
      </w:r>
      <w:r w:rsidRPr="00DA4F01">
        <w:rPr>
          <w:shd w:val="clear" w:color="auto" w:fill="CCCCCC"/>
        </w:rPr>
        <w:t>ulice</w:t>
      </w:r>
      <w:r w:rsidRPr="00DA4F01">
        <w:t xml:space="preserve">], zahájena bourací činnost na základě Smlouvy o dílo ze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 xml:space="preserve">] uzavřené mezi objednavatelem Městem Tachov, se sídlem </w:t>
      </w:r>
      <w:r>
        <w:t>[</w:t>
      </w:r>
      <w:r w:rsidRPr="00DA4F01">
        <w:rPr>
          <w:shd w:val="clear" w:color="auto" w:fill="CCCCCC"/>
        </w:rPr>
        <w:t>adresa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IČO</w:t>
      </w:r>
      <w:r w:rsidRPr="00DA4F01">
        <w:t xml:space="preserve">], jejímž předmětem bylo odstranění objektů skladu a garáže na </w:t>
      </w:r>
      <w:r>
        <w:t>[</w:t>
      </w:r>
      <w:r w:rsidRPr="00DA4F01">
        <w:rPr>
          <w:shd w:val="clear" w:color="auto" w:fill="CCCCCC"/>
        </w:rPr>
        <w:t>parcelní číslo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ulice</w:t>
      </w:r>
      <w:r w:rsidRPr="00DA4F01">
        <w:t xml:space="preserve">] ulice, </w:t>
      </w:r>
      <w:proofErr w:type="spellStart"/>
      <w:r w:rsidRPr="00DA4F01">
        <w:t>k.ú</w:t>
      </w:r>
      <w:proofErr w:type="spellEnd"/>
      <w:r w:rsidRPr="00DA4F01">
        <w:t xml:space="preserve">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obec Tachov, kdy tato činnost byla zahájena vedoucím prací obviněným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jako zaměstnancem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 s.r.o., který na místě vykonával i samotné bourací práce strojním způsobem pomocí pracovního stroje </w:t>
      </w:r>
      <w:proofErr w:type="spellStart"/>
      <w:r w:rsidRPr="00DA4F01">
        <w:t>Liebherr</w:t>
      </w:r>
      <w:proofErr w:type="spellEnd"/>
      <w:r w:rsidRPr="00DA4F01">
        <w:t xml:space="preserve"> 316 </w:t>
      </w:r>
      <w:proofErr w:type="spellStart"/>
      <w:r w:rsidRPr="00DA4F01">
        <w:t>Litronic</w:t>
      </w:r>
      <w:proofErr w:type="spellEnd"/>
      <w:r w:rsidRPr="00DA4F01">
        <w:t xml:space="preserve">, který při zadání postupoval v rozporu se schváleným technologickým postupem, kdy rozhodl o zajištění ochrany okolí pomocí střežení mimo jiné dalším zaměstnancem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 s.r.o., obviněným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kdy tímto taktéž porušil důležité povinnosti vyplývající mu z jeho postavení, kdy si počínal nejméně v rozporu s § 160 odst. 2 zákona č. 183/2006 Sb., o územním plánování a stavebním řádu (stavební zákon), v platném znění, podle kterého je zhotovitel stavby mimo jiné povinen provádět stavbu v souladu s rozhodnutím nebo jiným opatřením stavebního úřadu a s ověřenou projektovou dokumentací, dodržet obecné požadavky na výstavbu, popřípadě jiné technické předpisy, zajistit dodržení povinností k ochraně života, zdraví, životního prostředí, bezpečnosti práce vyplývajících ze zvláštních právních předpisů, přičemž nedodržel dále ustanovení § 17 odst. 1, odst. 3 vyhlášky č. 268/2009 Sb., o technických požadavcích na stavby, v platném znění tím, dle kterého se stavby musejí odstraňovat tak, aby v průběhu prací nedošlo k ohrožení bezpečnosti, života a zdraví osob, k nekontrolovatelnému porušení stability nebo její části, zároveň se odstraňovaní staveb musí provádět podle předem stanoveného technologického postupu a dokumentace bouracích prací, a ustanovení § 106 odst. 4 písm. d) zákona č. 262/2006 Sb., zákoník práce, v platném znění, kdy nedodržel stanovené pracovní postupy a v návaznosti na toto porušil i nařízení vlády č. 591/2006 Sb., o bližších minimálních požadavcích na bezpečnost a ochranu zdraví při práci na staveništích, v platném znění, příloha </w:t>
      </w:r>
      <w:r>
        <w:t>[</w:t>
      </w:r>
      <w:r w:rsidRPr="00DA4F01">
        <w:rPr>
          <w:shd w:val="clear" w:color="auto" w:fill="CCCCCC"/>
        </w:rPr>
        <w:t>číslo</w:t>
      </w:r>
      <w:r w:rsidRPr="00DA4F01">
        <w:t xml:space="preserve">] článek XII, bod 1., 6. a 7., přičemž obviněným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nebylo dostatečně zabezpečeno jemu určené místo, tak aby zabránil nepovolaným osobám v pohybu v blízkosti staveniště, a ze strany spol.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 pak byla porušena povinnost školení svých zaměstnanců v oblasti BOZP, které bylo prováděno pouze formálně, přičemž odpovědným zástupcem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 s.r.o. v předmětu podnikání„ Provádění staveb, jejich změn a odstraňování“ dle zákona č. 455/1991 Sb., o živnostenském podnikání (živnostenský zákon), a autorizovanou osobou ve smyslu ustanovení zákona č. 360/1992 Sb., o výkonu povolání autorizovaných architektů a o výkonu povolání autorizovaných inženýrů a techniků činných ve výstavbě, v platném změní, byl obviněný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jako stavební technik zároveň i technickým dozorem, který při tomto zadání porušil své povinnosti, když si počínal nejméně v rozporu s ustanovením § 160 odst. 1 zákona č. 183/2006 Sb., o územním plánování a stavebním řádu (stavební zákon), v platném znění, kdy nezajistil odborné vedení prováděných bouracích prací, dále pak v rozporu s ustanovením § 3 odst. 2 písm. q) zákona č. 309/2006 Sb., kterým se upravují další požadavky bezpečnosti a ochrany zdraví při práci v pracovněprávních vztazích a o zajištění bezpečnosti a ochrany zdraví při činnosti nebo poskytování služeb mimo pracovněprávní vztahy (zákon o zajištění dalších podmínek bezpečnosti a ochrany zdraví při práci), ve znění pozdějších předpisů, podle kterého je zhotovitel (odborný zástupce) mimo jiné povinen zajistit dodržení bližších minimálních požadavků na bezpečnost práce na </w:t>
      </w:r>
      <w:r w:rsidRPr="00DA4F01">
        <w:lastRenderedPageBreak/>
        <w:t xml:space="preserve">staveništi, dle zákona č. 262/2006 Sb., zákoník práce, ve znění pozdějších předpisů, konkrétně pak podle § 103 odst. 2 tohoto zákoníku nezajistil řádné školení zaměstnanců a dle § 103 odst. 1 písm. a) připustil, aby zaměstnanci mimo jiné vykonávali práce, jejichž náročnost neodpovídala jejich schopnostem, kdy nebyli řádně </w:t>
      </w:r>
      <w:proofErr w:type="gramStart"/>
      <w:r w:rsidRPr="00DA4F01">
        <w:t>vyškoleni</w:t>
      </w:r>
      <w:proofErr w:type="gramEnd"/>
      <w:r w:rsidRPr="00DA4F01">
        <w:t xml:space="preserve"> a tedy ani kvalifikováni,</w:t>
      </w:r>
    </w:p>
    <w:p w14:paraId="2F7A3E0E" w14:textId="4C553A37" w:rsidR="00DA4F01" w:rsidRDefault="00DA4F01" w:rsidP="00DA4F01">
      <w:pPr>
        <w:pStyle w:val="Neslovanvrok"/>
      </w:pPr>
      <w:r w:rsidRPr="00DA4F01">
        <w:t xml:space="preserve">v důsledku čehož při takto prováděné práci uvedeného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 xml:space="preserve">] kolem 11:25 hodin na uvedeném staveništi došlo při nedostatečně zajištěném a prováděném strojním bourání pomocí pracovního stroje </w:t>
      </w:r>
      <w:proofErr w:type="spellStart"/>
      <w:r w:rsidRPr="00DA4F01">
        <w:t>Liebherr</w:t>
      </w:r>
      <w:proofErr w:type="spellEnd"/>
      <w:r w:rsidRPr="00DA4F01">
        <w:t xml:space="preserve"> 316 </w:t>
      </w:r>
      <w:proofErr w:type="spellStart"/>
      <w:r w:rsidRPr="00DA4F01">
        <w:t>Litronic</w:t>
      </w:r>
      <w:proofErr w:type="spellEnd"/>
      <w:r w:rsidRPr="00DA4F01">
        <w:t xml:space="preserve"> obsluhovaném obviněným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k sesunutí boční zdi uvedeného bouraného objektu v tomto místě, které měl střežit obviněný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při kterém došlo k závalu poškozeného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který tímto místem procházel a který utrpěl zranění spočívající v mnohočetných zlomeninách bederní páteře a pánve s intenzivním čerstvým </w:t>
      </w:r>
      <w:proofErr w:type="spellStart"/>
      <w:r w:rsidRPr="00DA4F01">
        <w:t>prokrvácením</w:t>
      </w:r>
      <w:proofErr w:type="spellEnd"/>
      <w:r w:rsidRPr="00DA4F01">
        <w:t xml:space="preserve"> svalů a ostatních měkkých tkání v okolí, v malé pánvi, v zadní části břišní stěny a v závěsech břišních orgánů, které si vyžádalo transport do Fakultní nemocnice </w:t>
      </w:r>
      <w:r>
        <w:t>[</w:t>
      </w:r>
      <w:r w:rsidRPr="00DA4F01">
        <w:rPr>
          <w:shd w:val="clear" w:color="auto" w:fill="CCCCCC"/>
        </w:rPr>
        <w:t>obec</w:t>
      </w:r>
      <w:r w:rsidRPr="00DA4F01">
        <w:t>], kde téhož dne zemřel,</w:t>
      </w:r>
    </w:p>
    <w:p w14:paraId="1F04BB6E" w14:textId="365D938B" w:rsidR="00DA4F01" w:rsidRDefault="00DA4F01" w:rsidP="00DA4F01">
      <w:pPr>
        <w:pStyle w:val="Neslovanvrok"/>
        <w:jc w:val="left"/>
        <w:rPr>
          <w:b/>
        </w:rPr>
      </w:pPr>
      <w:r w:rsidRPr="00DA4F01">
        <w:rPr>
          <w:b/>
        </w:rPr>
        <w:t xml:space="preserve">2. obviněná právnická osoba </w:t>
      </w:r>
      <w:r>
        <w:rPr>
          <w:b/>
        </w:rPr>
        <w:t>[</w:t>
      </w:r>
      <w:r w:rsidRPr="00DA4F01">
        <w:rPr>
          <w:b/>
          <w:shd w:val="clear" w:color="auto" w:fill="CCCCCC"/>
        </w:rPr>
        <w:t>právnická osoba</w:t>
      </w:r>
      <w:r w:rsidRPr="00DA4F01">
        <w:rPr>
          <w:b/>
        </w:rPr>
        <w:t>]</w:t>
      </w:r>
    </w:p>
    <w:p w14:paraId="797F1E87" w14:textId="369C8219" w:rsidR="00DA4F01" w:rsidRDefault="00DA4F01" w:rsidP="00DA4F01">
      <w:pPr>
        <w:pStyle w:val="Neslovanvrok"/>
      </w:pPr>
      <w:r w:rsidRPr="00DA4F01">
        <w:t xml:space="preserve">poté, co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 xml:space="preserve">] uzavřela jako zhotovitel smlouvu o dílu s objednavatelem Městem Tachov, se sídlem </w:t>
      </w:r>
      <w:r>
        <w:t>[</w:t>
      </w:r>
      <w:r w:rsidRPr="00DA4F01">
        <w:rPr>
          <w:shd w:val="clear" w:color="auto" w:fill="CCCCCC"/>
        </w:rPr>
        <w:t>adresa</w:t>
      </w:r>
      <w:r w:rsidRPr="00DA4F01">
        <w:t xml:space="preserve">], jejímž předmětem bylo odstranění objektů skladu a garáže na </w:t>
      </w:r>
      <w:r>
        <w:t>[</w:t>
      </w:r>
      <w:r w:rsidRPr="00DA4F01">
        <w:rPr>
          <w:shd w:val="clear" w:color="auto" w:fill="CCCCCC"/>
        </w:rPr>
        <w:t>parcelní číslo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ulice</w:t>
      </w:r>
      <w:r w:rsidRPr="00DA4F01">
        <w:t xml:space="preserve">] ulice, </w:t>
      </w:r>
      <w:proofErr w:type="spellStart"/>
      <w:r w:rsidRPr="00DA4F01">
        <w:t>k.ú</w:t>
      </w:r>
      <w:proofErr w:type="spellEnd"/>
      <w:r w:rsidRPr="00DA4F01">
        <w:t xml:space="preserve">. </w:t>
      </w:r>
      <w:r>
        <w:t>[</w:t>
      </w:r>
      <w:r w:rsidRPr="00DA4F01">
        <w:rPr>
          <w:shd w:val="clear" w:color="auto" w:fill="CCCCCC"/>
        </w:rPr>
        <w:t>okres</w:t>
      </w:r>
      <w:r w:rsidRPr="00DA4F01">
        <w:t xml:space="preserve">], obec Tachov, přičemž součástí objednávky bylo i stanovení technologického postupu a vypracovaná projektová dokumentace, když z této vyplynula ochrana okolí staveniště pomocí oplocení z mobilních plotových panelů se spojovacími prvky, načež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 xml:space="preserve">] v 08:00 hodin obviněná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 prostřednictvím svých zaměstnanců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jakožto vedoucím prací a zároveň obsluhou pracovního stroje </w:t>
      </w:r>
      <w:proofErr w:type="spellStart"/>
      <w:r w:rsidRPr="00DA4F01">
        <w:t>Liebherr</w:t>
      </w:r>
      <w:proofErr w:type="spellEnd"/>
      <w:r w:rsidRPr="00DA4F01">
        <w:t xml:space="preserve"> 316 </w:t>
      </w:r>
      <w:proofErr w:type="spellStart"/>
      <w:r w:rsidRPr="00DA4F01">
        <w:t>Litronic</w:t>
      </w:r>
      <w:proofErr w:type="spellEnd"/>
      <w:r w:rsidRPr="00DA4F01">
        <w:t xml:space="preserve">,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jakožto pracovníka zajišťujícího mj. střežení místa, a stavebním technikem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jakožto odpovědným zástupcem obviněné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 v předmětu podnikání„ Provádění staveb jejich změn a odstraňování“ dle zákona č. 455/1991 Sb., o živnostenském podnikání (živnostenský zákon), a autorizovanou osobou ve smyslu ustanovení zákona č. 360/1992 Sb., o výkonu povolání autorizovaných architektů a o výkonu povolání autorizovaných inženýrů a techniků činných ve výstavbě, v platném změní, a zároveň technickým dozorem, zahájila bourací činnost v rozporu se stanoveným technologickým postupem a projektovou dokumentací, kdy s cílem ušetřit prostředky na provádění stavby, a to času zaměstnanců, který by musel být vynaložen na montáž mobilních plotových panelů se spojovacími prvky, jakož i dalších nákladů spojených s montáží spojených s montáží mobilních plotových panelů se spojovacími prvky, tj. přinejmenším doprava jednotlivých prvků oplocení na místo provádění stavby,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rozhodl o zabezpečení stanoviště toliko hlídáním dvěma osobami - zaměstnanci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 xml:space="preserve">] s.r.o., a to aniž by k tomu byl oprávněný a aniž by tato změna byla po vyjádření odpovědného projektanta schválena a dle bezpečnosti práce se jednalo o zcela zásadní změnu v zabezpečení staveniště při provádění bouracích prací, přičemž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neprováděl dostatečnou kontrolu na staveništi, zejména nekontroloval, zda bourací práce jsou prováděny v souladu se stanoveným technologickým postupem a vypracovanou projektovou dokumentací, kdy při takto prováděné práci uvedeného dne </w:t>
      </w:r>
      <w:r>
        <w:t>[</w:t>
      </w:r>
      <w:r w:rsidRPr="00DA4F01">
        <w:rPr>
          <w:shd w:val="clear" w:color="auto" w:fill="CCCCCC"/>
        </w:rPr>
        <w:t>datum</w:t>
      </w:r>
      <w:r w:rsidRPr="00DA4F01">
        <w:t xml:space="preserve">] kolem 11:25 hodin na uvedeném staveništi došlo při nedostatečně zajištěném a prováděném strojním bourání pomocí pracovního stroje </w:t>
      </w:r>
      <w:proofErr w:type="spellStart"/>
      <w:r w:rsidRPr="00DA4F01">
        <w:t>Liebherr</w:t>
      </w:r>
      <w:proofErr w:type="spellEnd"/>
      <w:r w:rsidRPr="00DA4F01">
        <w:t xml:space="preserve"> 316 </w:t>
      </w:r>
      <w:proofErr w:type="spellStart"/>
      <w:r w:rsidRPr="00DA4F01">
        <w:t>Litronic</w:t>
      </w:r>
      <w:proofErr w:type="spellEnd"/>
      <w:r w:rsidRPr="00DA4F01">
        <w:t xml:space="preserve"> obsluhovaném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k sesunutí boční zdi uvedeného bouraného objektu v tomto místě, které mělo být jednak zajištěno shora uvedeným plotem a jednak mělo být střeženo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], přičemž v uvedeném místě procházel chodec poškozený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kdy došlo k jeho zavalení sutinami ze sesunuté zdi, v důsledku čehož </w:t>
      </w:r>
      <w:r>
        <w:lastRenderedPageBreak/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 utrpěl zranění spočívající v mnohočetných zlomeninách bederní páteře a pánve s intenzivním čerstvým </w:t>
      </w:r>
      <w:proofErr w:type="spellStart"/>
      <w:r w:rsidRPr="00DA4F01">
        <w:t>prokrvácením</w:t>
      </w:r>
      <w:proofErr w:type="spellEnd"/>
      <w:r w:rsidRPr="00DA4F01">
        <w:t xml:space="preserve"> svalů a ostatních měkkých tkání v okolí, v malé pánvi, v zadní části břišní stěny a v závěsech břišních orgánů, které si vyžádalo transport do Fakultní nemocnice </w:t>
      </w:r>
      <w:r>
        <w:t>[</w:t>
      </w:r>
      <w:r w:rsidRPr="00DA4F01">
        <w:rPr>
          <w:shd w:val="clear" w:color="auto" w:fill="CCCCCC"/>
        </w:rPr>
        <w:t>obec</w:t>
      </w:r>
      <w:r w:rsidRPr="00DA4F01">
        <w:t>] Lochotín, kde téhož dne zemřel,</w:t>
      </w:r>
    </w:p>
    <w:p w14:paraId="7DA623CD" w14:textId="77777777" w:rsidR="00DA4F01" w:rsidRDefault="00DA4F01" w:rsidP="00DA4F01">
      <w:pPr>
        <w:pStyle w:val="Neslovanvrok"/>
        <w:jc w:val="center"/>
        <w:rPr>
          <w:b/>
        </w:rPr>
      </w:pPr>
      <w:r w:rsidRPr="00DA4F01">
        <w:rPr>
          <w:b/>
        </w:rPr>
        <w:t>tedy</w:t>
      </w:r>
    </w:p>
    <w:p w14:paraId="21AB7783" w14:textId="77777777" w:rsidR="00DA4F01" w:rsidRDefault="00DA4F01" w:rsidP="00DA4F01">
      <w:pPr>
        <w:pStyle w:val="Neslovanvrok"/>
        <w:jc w:val="left"/>
        <w:rPr>
          <w:b/>
        </w:rPr>
      </w:pPr>
      <w:r w:rsidRPr="00DA4F01">
        <w:rPr>
          <w:b/>
        </w:rPr>
        <w:t>pod bodem 1.</w:t>
      </w:r>
    </w:p>
    <w:p w14:paraId="426318E4" w14:textId="50BA6384" w:rsidR="00DA4F01" w:rsidRDefault="00DA4F01" w:rsidP="00DA4F01">
      <w:pPr>
        <w:pStyle w:val="Neslovanvrok"/>
        <w:jc w:val="left"/>
      </w:pPr>
      <w:r w:rsidRPr="00DA4F01">
        <w:t xml:space="preserve">obvinění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a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</w:t>
      </w:r>
    </w:p>
    <w:p w14:paraId="162DE171" w14:textId="77777777" w:rsidR="00DA4F01" w:rsidRDefault="00DA4F01" w:rsidP="00DA4F01">
      <w:pPr>
        <w:pStyle w:val="Neslovanvrok"/>
      </w:pPr>
      <w:r w:rsidRPr="00DA4F01">
        <w:t>jinému z nedbalosti způsobil smrt a čin spáchal proto, že porušil důležitou povinnost uloženou mu podle zákona,</w:t>
      </w:r>
    </w:p>
    <w:p w14:paraId="68AEE3E9" w14:textId="2C28E994" w:rsidR="00DA4F01" w:rsidRDefault="00DA4F01" w:rsidP="00DA4F01">
      <w:pPr>
        <w:pStyle w:val="Neslovanvrok"/>
        <w:jc w:val="left"/>
      </w:pPr>
      <w:r w:rsidRPr="00DA4F01">
        <w:t xml:space="preserve">obviněný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</w:t>
      </w:r>
    </w:p>
    <w:p w14:paraId="4A1B26C9" w14:textId="77777777" w:rsidR="00DA4F01" w:rsidRDefault="00DA4F01" w:rsidP="00DA4F01">
      <w:pPr>
        <w:pStyle w:val="Neslovanvrok"/>
      </w:pPr>
      <w:r w:rsidRPr="00DA4F01">
        <w:t>jinému z nedbalosti způsobil smrt,</w:t>
      </w:r>
    </w:p>
    <w:p w14:paraId="485EF64E" w14:textId="77777777" w:rsidR="00DA4F01" w:rsidRDefault="00DA4F01" w:rsidP="00DA4F01">
      <w:pPr>
        <w:pStyle w:val="Neslovanvrok"/>
        <w:jc w:val="left"/>
        <w:rPr>
          <w:b/>
        </w:rPr>
      </w:pPr>
      <w:r w:rsidRPr="00DA4F01">
        <w:rPr>
          <w:b/>
        </w:rPr>
        <w:t>pod bodem 2.</w:t>
      </w:r>
    </w:p>
    <w:p w14:paraId="5749137E" w14:textId="5E96044D" w:rsidR="00DA4F01" w:rsidRDefault="00DA4F01" w:rsidP="00DA4F01">
      <w:pPr>
        <w:pStyle w:val="Neslovanvrok"/>
      </w:pPr>
      <w:r w:rsidRPr="00DA4F01">
        <w:t xml:space="preserve">obviněná právnická osoba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>] jinému z nedbalosti způsobila smrt a čin spáchala proto, že porušila důležitou povinnost uloženou jí podle zákona,</w:t>
      </w:r>
    </w:p>
    <w:p w14:paraId="27FF4983" w14:textId="77777777" w:rsidR="00DA4F01" w:rsidRDefault="00DA4F01" w:rsidP="00DA4F01">
      <w:pPr>
        <w:pStyle w:val="Neslovanvrok"/>
        <w:jc w:val="center"/>
        <w:rPr>
          <w:b/>
        </w:rPr>
      </w:pPr>
      <w:r w:rsidRPr="00DA4F01">
        <w:rPr>
          <w:b/>
        </w:rPr>
        <w:t>čímž spáchali</w:t>
      </w:r>
    </w:p>
    <w:p w14:paraId="5EEC2BF9" w14:textId="77777777" w:rsidR="00DA4F01" w:rsidRDefault="00DA4F01" w:rsidP="00DA4F01">
      <w:pPr>
        <w:pStyle w:val="Neslovanvrok"/>
        <w:jc w:val="left"/>
      </w:pPr>
      <w:r w:rsidRPr="00DA4F01">
        <w:t>pod bodem 1.</w:t>
      </w:r>
    </w:p>
    <w:p w14:paraId="2EBBDE41" w14:textId="678D57FD" w:rsidR="00DA4F01" w:rsidRDefault="00DA4F01" w:rsidP="00DA4F01">
      <w:pPr>
        <w:pStyle w:val="Neslovanvrok"/>
      </w:pPr>
      <w:r w:rsidRPr="00DA4F01">
        <w:t xml:space="preserve">obvinění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a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 přečin usmrcení z nedbalosti podle § 143 odst. 1, odst. 2 trestního zákoníku,</w:t>
      </w:r>
    </w:p>
    <w:p w14:paraId="76795769" w14:textId="18923CF7" w:rsidR="00DA4F01" w:rsidRDefault="00DA4F01" w:rsidP="00DA4F01">
      <w:pPr>
        <w:pStyle w:val="Neslovanvrok"/>
      </w:pPr>
      <w:r w:rsidRPr="00DA4F01">
        <w:t xml:space="preserve">obviněný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 přečin usmrcení z nedbalosti podle § 143 odst. 1 trestního zákoníku,</w:t>
      </w:r>
    </w:p>
    <w:p w14:paraId="076A89C8" w14:textId="77777777" w:rsidR="00DA4F01" w:rsidRDefault="00DA4F01" w:rsidP="00DA4F01">
      <w:pPr>
        <w:pStyle w:val="Neslovanvrok"/>
        <w:rPr>
          <w:b/>
        </w:rPr>
      </w:pPr>
      <w:r w:rsidRPr="00DA4F01">
        <w:rPr>
          <w:b/>
        </w:rPr>
        <w:t>pod bodem 2.</w:t>
      </w:r>
    </w:p>
    <w:p w14:paraId="2759BE0B" w14:textId="6290B83E" w:rsidR="00DA4F01" w:rsidRDefault="00DA4F01" w:rsidP="00DA4F01">
      <w:pPr>
        <w:pStyle w:val="Neslovanvrok"/>
      </w:pPr>
      <w:r w:rsidRPr="00DA4F01">
        <w:t xml:space="preserve">obviněná právnická osoba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>] přečin usmrcení z nedbalosti podle § 143 odst. 1, odst. 2 trestního zákoníku za užití § 7 a § 8 odst. 1 písm. b), d) zákona č. 418/2011 Sb., o trestní odpovědnosti právnických osob,</w:t>
      </w:r>
    </w:p>
    <w:p w14:paraId="01FB4860" w14:textId="77777777" w:rsidR="00DA4F01" w:rsidRDefault="00DA4F01" w:rsidP="00DA4F01">
      <w:pPr>
        <w:pStyle w:val="Neslovanvrok"/>
        <w:jc w:val="center"/>
        <w:rPr>
          <w:b/>
        </w:rPr>
      </w:pPr>
      <w:r w:rsidRPr="00DA4F01">
        <w:rPr>
          <w:b/>
        </w:rPr>
        <w:t>a odsuzují se za to</w:t>
      </w:r>
    </w:p>
    <w:p w14:paraId="25B20149" w14:textId="425D4645" w:rsidR="00DA4F01" w:rsidRDefault="00DA4F01" w:rsidP="00DA4F01">
      <w:pPr>
        <w:pStyle w:val="Neslovanvrok"/>
      </w:pPr>
      <w:r w:rsidRPr="00DA4F01">
        <w:t xml:space="preserve">obviněný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 podle § 143 odst. 2 trestního zákoníku k trestu odnětí svobody v trvání jednoho (1) roku.</w:t>
      </w:r>
    </w:p>
    <w:p w14:paraId="4A7D9809" w14:textId="77777777" w:rsidR="00DA4F01" w:rsidRDefault="00DA4F01" w:rsidP="00DA4F01">
      <w:pPr>
        <w:pStyle w:val="Neslovanvrok"/>
      </w:pPr>
      <w:r w:rsidRPr="00DA4F01">
        <w:t>Podle § 81 odst. 1 a § 82 odst. 1 trestního zákoníku se mu výkon tohoto trestu podmíněně odkládá na zkušební dobu v trvání dvou (2) roků.</w:t>
      </w:r>
    </w:p>
    <w:p w14:paraId="1113A480" w14:textId="182CBEDC" w:rsidR="00DA4F01" w:rsidRDefault="00DA4F01" w:rsidP="00DA4F01">
      <w:pPr>
        <w:pStyle w:val="Neslovanvrok"/>
      </w:pPr>
      <w:r w:rsidRPr="00DA4F01">
        <w:t xml:space="preserve">Podle § 67 odst. 1 trestního zákoníku za užití § 68 odst. 1, odst. 2 trestního zákoníku se obviněnému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 ukládá peněžitý trest ve výměře padesáti (50) denních sazeb po 1 000 Kč (celkem 50 000 Kč).</w:t>
      </w:r>
    </w:p>
    <w:p w14:paraId="22470852" w14:textId="77777777" w:rsidR="00DA4F01" w:rsidRDefault="00DA4F01" w:rsidP="00DA4F01">
      <w:pPr>
        <w:pStyle w:val="Neslovanvrok"/>
      </w:pPr>
      <w:r w:rsidRPr="00DA4F01">
        <w:t>Podle § 68 odst. 5 trestního zákoníku se stanoví, že peněžitý trest bude zaplacen v měsíčních splátkách po 2 000 Kč.</w:t>
      </w:r>
    </w:p>
    <w:p w14:paraId="790340E5" w14:textId="77777777" w:rsidR="00DA4F01" w:rsidRDefault="00DA4F01" w:rsidP="00DA4F01">
      <w:pPr>
        <w:pStyle w:val="Neslovanvrok"/>
      </w:pPr>
      <w:r w:rsidRPr="00DA4F01">
        <w:t>Podle § 69 odst. 1 trestního zákoníku se pro případ, že by peněžitý trest nebyl ve stanovené lhůtě vykonán, stanoví náhradní trest odnětí svobody ve výměře padesáti (50) dní.</w:t>
      </w:r>
    </w:p>
    <w:p w14:paraId="5E895700" w14:textId="067113C2" w:rsidR="00DA4F01" w:rsidRDefault="00DA4F01" w:rsidP="00DA4F01">
      <w:pPr>
        <w:pStyle w:val="Neslovanvrok"/>
      </w:pPr>
      <w:r w:rsidRPr="00DA4F01">
        <w:t xml:space="preserve">Obviněný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 podle § 143 odst. 1 trestního zákoníku k trestu odnětí svobody v trvání jednoho (1) roku.</w:t>
      </w:r>
    </w:p>
    <w:p w14:paraId="64843C80" w14:textId="77777777" w:rsidR="00DA4F01" w:rsidRDefault="00DA4F01" w:rsidP="00DA4F01">
      <w:pPr>
        <w:pStyle w:val="Neslovanvrok"/>
      </w:pPr>
      <w:r w:rsidRPr="00DA4F01">
        <w:t>Podle § 81 odst. 1 a § 82 odst. 1 trestního zákoníku se mu výkon tohoto trestu podmíněně odkládá na zkušební dobu v trvání dvou (2) roků.</w:t>
      </w:r>
    </w:p>
    <w:p w14:paraId="5F95B233" w14:textId="634B3FBC" w:rsidR="00DA4F01" w:rsidRDefault="00DA4F01" w:rsidP="00DA4F01">
      <w:pPr>
        <w:pStyle w:val="Neslovanvrok"/>
      </w:pPr>
      <w:r w:rsidRPr="00DA4F01">
        <w:lastRenderedPageBreak/>
        <w:t xml:space="preserve">Obviněný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 podle § 143 odst. 2 trestního zákoníku k trestu odnětí svobody v trvání jednoho (1) roku.</w:t>
      </w:r>
    </w:p>
    <w:p w14:paraId="551881B8" w14:textId="77777777" w:rsidR="00DA4F01" w:rsidRDefault="00DA4F01" w:rsidP="00DA4F01">
      <w:pPr>
        <w:pStyle w:val="Neslovanvrok"/>
      </w:pPr>
      <w:r w:rsidRPr="00DA4F01">
        <w:t>Podle § 81 odst. 1 a § 82 odst. 1 trestního zákoníku se mu výkon tohoto trestu podmíněně odkládá na zkušební dobu v trvání dvou (2) roků.</w:t>
      </w:r>
    </w:p>
    <w:p w14:paraId="12273E62" w14:textId="156ECA23" w:rsidR="00DA4F01" w:rsidRDefault="00DA4F01" w:rsidP="00DA4F01">
      <w:pPr>
        <w:pStyle w:val="Neslovanvrok"/>
      </w:pPr>
      <w:r w:rsidRPr="00DA4F01">
        <w:t xml:space="preserve">Podle § 67 odst. 1 trestního zákoníku za užití § 68 odst. 1, odst. 2 trestního zákoníku se obviněnému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>] ukládá peněžitý trest ve výměře třiceti (30) denních sazeb po 1 000 Kč (30 000 Kč).</w:t>
      </w:r>
    </w:p>
    <w:p w14:paraId="4137F916" w14:textId="77777777" w:rsidR="00DA4F01" w:rsidRDefault="00DA4F01" w:rsidP="00DA4F01">
      <w:pPr>
        <w:pStyle w:val="Neslovanvrok"/>
      </w:pPr>
      <w:r w:rsidRPr="00DA4F01">
        <w:t>Podle § 68 odst. 5 trestního zákoníku se stanoví, že peněžitý trest bude zaplacen v měsíčních splátkách po 2 000 Kč.</w:t>
      </w:r>
    </w:p>
    <w:p w14:paraId="39336FDC" w14:textId="77777777" w:rsidR="00DA4F01" w:rsidRDefault="00DA4F01" w:rsidP="00DA4F01">
      <w:pPr>
        <w:pStyle w:val="Neslovanvrok"/>
      </w:pPr>
      <w:r w:rsidRPr="00DA4F01">
        <w:t>Podle § 69 odst. 1 trestního zákoníku se pro případ, že by peněžitý trest nebyl ve stanovené lhůtě vykonán, stanoví náhradní trest odnětí svobody ve výměře třiceti (30) dní.</w:t>
      </w:r>
    </w:p>
    <w:p w14:paraId="67152A5C" w14:textId="735562EC" w:rsidR="00DA4F01" w:rsidRDefault="00DA4F01" w:rsidP="00DA4F01">
      <w:pPr>
        <w:pStyle w:val="Neslovanvrok"/>
      </w:pPr>
      <w:r w:rsidRPr="00DA4F01">
        <w:t xml:space="preserve">Obviněná právnická osoba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>] podle § 143 odst. 2 trestního zákoníku za užití § 68 odst. 1 trestního zákoníku a § 18 odst. 2 zákona č. 418/2011 Sb., o trestní odpovědnosti právnických osob, k peněžitému trestu ve výměře padesáti (50) denních sazeb po 1 000 Kč (50 000 Kč).</w:t>
      </w:r>
    </w:p>
    <w:p w14:paraId="1C067AF9" w14:textId="77777777" w:rsidR="00DA4F01" w:rsidRDefault="00DA4F01" w:rsidP="00DA4F01">
      <w:pPr>
        <w:pStyle w:val="Neslovanvrok"/>
      </w:pPr>
      <w:r w:rsidRPr="00DA4F01">
        <w:t>Podle § 68 odst. 5 trestního zákoníku se stanoví, že peněžitý trest bude zaplacen v měsíčních splátkách po 5 000 Kč.</w:t>
      </w:r>
    </w:p>
    <w:p w14:paraId="292698C0" w14:textId="769A1DD4" w:rsidR="008A0B5D" w:rsidRPr="00DA4F01" w:rsidRDefault="00DA4F01" w:rsidP="00DA4F01">
      <w:pPr>
        <w:pStyle w:val="Neslovanvrok"/>
      </w:pPr>
      <w:r w:rsidRPr="00DA4F01">
        <w:t xml:space="preserve">Podle § 229 odst. 1 trestního řádu se poškození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Ing.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Mgr.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</w:t>
      </w:r>
      <w:proofErr w:type="spellStart"/>
      <w:r w:rsidRPr="00DA4F01">
        <w:t>nezl</w:t>
      </w:r>
      <w:proofErr w:type="spellEnd"/>
      <w:r w:rsidRPr="00DA4F01">
        <w:t xml:space="preserve">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</w:t>
      </w:r>
      <w:proofErr w:type="spellStart"/>
      <w:r w:rsidRPr="00DA4F01">
        <w:t>nezl</w:t>
      </w:r>
      <w:proofErr w:type="spellEnd"/>
      <w:r w:rsidRPr="00DA4F01">
        <w:t xml:space="preserve">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a </w:t>
      </w:r>
      <w:r>
        <w:t>[</w:t>
      </w:r>
      <w:r w:rsidRPr="00DA4F01">
        <w:rPr>
          <w:shd w:val="clear" w:color="auto" w:fill="CCCCCC"/>
        </w:rPr>
        <w:t>ulice</w:t>
      </w:r>
      <w:r w:rsidRPr="00DA4F01">
        <w:t xml:space="preserve">] průmyslová zdravotní pojišťovna, </w:t>
      </w:r>
      <w:r>
        <w:t>[</w:t>
      </w:r>
      <w:r w:rsidRPr="00DA4F01">
        <w:rPr>
          <w:shd w:val="clear" w:color="auto" w:fill="CCCCCC"/>
        </w:rPr>
        <w:t>IČO</w:t>
      </w:r>
      <w:r w:rsidRPr="00DA4F01">
        <w:t>], odkazují se svým nárokem na náhradu škody na řízení ve věcech občanskoprávních.</w:t>
      </w:r>
    </w:p>
    <w:p w14:paraId="48BED5B7" w14:textId="77777777" w:rsidR="008A0B5D" w:rsidRDefault="008A0B5D" w:rsidP="008A0B5D">
      <w:pPr>
        <w:pStyle w:val="Nadpisstirozsudku"/>
      </w:pPr>
      <w:r>
        <w:t>Odůvodnění:</w:t>
      </w:r>
    </w:p>
    <w:p w14:paraId="11276C3F" w14:textId="77777777" w:rsidR="00DA4F01" w:rsidRDefault="00DA4F01" w:rsidP="00DA4F01">
      <w:r w:rsidRPr="00DA4F01">
        <w:t xml:space="preserve">1. Podle </w:t>
      </w:r>
      <w:proofErr w:type="spellStart"/>
      <w:r w:rsidRPr="00DA4F01">
        <w:t>ust</w:t>
      </w:r>
      <w:proofErr w:type="spellEnd"/>
      <w:r w:rsidRPr="00DA4F01">
        <w:t>. § 129 odst. 2 trestního řádu odůvodnění rozsudku ve výroku o vině a trestu odpadá, jelikož ihned po vyhlášení rozsudku všichni obvinění i státní zástupce vzdali práva podat odvolání a prohlásili, že netrvají na vyhotovení písemného odůvodnění, a všichni obvinění dále uvedli, že si nepřejí, aby v jejich prospěch podávaly odvolání osoby zmocněné k tomu ze zákona.</w:t>
      </w:r>
    </w:p>
    <w:p w14:paraId="58C12DCF" w14:textId="074C808F" w:rsidR="00DA4F01" w:rsidRDefault="00DA4F01" w:rsidP="00DA4F01">
      <w:r w:rsidRPr="00DA4F01">
        <w:t xml:space="preserve">2. Se svým nárokem na náhradu škody se do řízení přihlásili poškození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600 000 Kč,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500 000 Kč,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500 000 Kč, Ing.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300 000 Kč, Mgr.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300 000 Kč,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300 000 Kč,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300 000 Kč, </w:t>
      </w:r>
      <w:proofErr w:type="spellStart"/>
      <w:r w:rsidRPr="00DA4F01">
        <w:t>nezl</w:t>
      </w:r>
      <w:proofErr w:type="spellEnd"/>
      <w:r w:rsidRPr="00DA4F01">
        <w:t xml:space="preserve">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200 000 Kč, </w:t>
      </w:r>
      <w:proofErr w:type="spellStart"/>
      <w:r w:rsidRPr="00DA4F01">
        <w:t>nezl</w:t>
      </w:r>
      <w:proofErr w:type="spellEnd"/>
      <w:r w:rsidRPr="00DA4F01">
        <w:t xml:space="preserve">. </w:t>
      </w:r>
      <w:r>
        <w:t>[</w:t>
      </w:r>
      <w:r w:rsidRPr="00DA4F01">
        <w:rPr>
          <w:shd w:val="clear" w:color="auto" w:fill="CCCCCC"/>
        </w:rPr>
        <w:t>jméno</w:t>
      </w:r>
      <w:r w:rsidRPr="00DA4F01">
        <w:t xml:space="preserve">]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], </w:t>
      </w:r>
      <w:r>
        <w:t>[</w:t>
      </w:r>
      <w:r w:rsidRPr="00DA4F01">
        <w:rPr>
          <w:shd w:val="clear" w:color="auto" w:fill="CCCCCC"/>
        </w:rPr>
        <w:t>datum narození</w:t>
      </w:r>
      <w:r w:rsidRPr="00DA4F01">
        <w:t xml:space="preserve">], s částkou ve výši 200 000 Kč, když uplatněné nároky spočívají v náhradě nemajetkové újmy příbuzných usmrceného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]. Se svým nárokem na náhradu škody se přihlásila také poškozená </w:t>
      </w:r>
      <w:r>
        <w:t>[</w:t>
      </w:r>
      <w:r w:rsidRPr="00DA4F01">
        <w:rPr>
          <w:shd w:val="clear" w:color="auto" w:fill="CCCCCC"/>
        </w:rPr>
        <w:t>příjmení</w:t>
      </w:r>
      <w:r w:rsidRPr="00DA4F01">
        <w:t xml:space="preserve">] průmyslová zdravotní pojišťovna, </w:t>
      </w:r>
      <w:r>
        <w:t>[</w:t>
      </w:r>
      <w:r w:rsidRPr="00DA4F01">
        <w:rPr>
          <w:shd w:val="clear" w:color="auto" w:fill="CCCCCC"/>
        </w:rPr>
        <w:t>IČO</w:t>
      </w:r>
      <w:r w:rsidRPr="00DA4F01">
        <w:t xml:space="preserve">], s to v částce 229 742 Kč, představující vynaložené náklady za ošetření a léčbu usmrceného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>].</w:t>
      </w:r>
    </w:p>
    <w:p w14:paraId="71CE58FB" w14:textId="545B5E0B" w:rsidR="00DA4F01" w:rsidRDefault="00DA4F01" w:rsidP="00DA4F01">
      <w:r w:rsidRPr="00DA4F01">
        <w:t xml:space="preserve">3. Po přezkoumání nároků všech poškozených bylo zjištěno, že vzniklá nemajetková újma i majetková škoda spočívající v nákladech za vyšetření a léčbu </w:t>
      </w:r>
      <w:r>
        <w:t>[</w:t>
      </w:r>
      <w:r w:rsidRPr="00DA4F01">
        <w:rPr>
          <w:shd w:val="clear" w:color="auto" w:fill="CCCCCC"/>
        </w:rPr>
        <w:t>celé jméno poškozeného</w:t>
      </w:r>
      <w:r w:rsidRPr="00DA4F01">
        <w:t xml:space="preserve">] je zcela v příčinné souvislosti s jednáním obviněných. Nicméně, na základě výsledků dokazování nebylo možné bez dalšího učinit závěr o plné odpovědnosti všech obviněných za vzniklou škodu. Z výsledků dokazování je totiž patrné, že obvinění </w:t>
      </w:r>
      <w:r>
        <w:t>[</w:t>
      </w:r>
      <w:r w:rsidRPr="00DA4F01">
        <w:rPr>
          <w:shd w:val="clear" w:color="auto" w:fill="CCCCCC"/>
        </w:rPr>
        <w:t>celé jméno obžalovaného</w:t>
      </w:r>
      <w:r w:rsidRPr="00DA4F01">
        <w:t xml:space="preserve">] a </w:t>
      </w:r>
      <w:r>
        <w:t>[</w:t>
      </w:r>
      <w:r w:rsidRPr="00DA4F01">
        <w:rPr>
          <w:shd w:val="clear" w:color="auto" w:fill="CCCCCC"/>
        </w:rPr>
        <w:t xml:space="preserve">celé jméno </w:t>
      </w:r>
      <w:r w:rsidRPr="00DA4F01">
        <w:rPr>
          <w:shd w:val="clear" w:color="auto" w:fill="CCCCCC"/>
        </w:rPr>
        <w:lastRenderedPageBreak/>
        <w:t>obžalovaného</w:t>
      </w:r>
      <w:r w:rsidRPr="00DA4F01">
        <w:t xml:space="preserve">] při spáchání přečinu vystupovali jako zaměstnanci obviněné </w:t>
      </w:r>
      <w:r>
        <w:t>[</w:t>
      </w:r>
      <w:r w:rsidRPr="00DA4F01">
        <w:rPr>
          <w:shd w:val="clear" w:color="auto" w:fill="CCCCCC"/>
        </w:rPr>
        <w:t>právnická osoba</w:t>
      </w:r>
      <w:r w:rsidRPr="00DA4F01">
        <w:t>] Na jejich odpovědnost za vniklou škodu je tak třeba aplikovat především předpisy občanskoprávní včetně předpisů pracovněprávních, které upravují limitaci odpovědnosti zaměstnanců ve vztahu k jejich zaměstnavateli. V době rozhodnutí taktéž nebylo zřejmé, nakolik se na náhradě škody a za kterého z obviněných bude podílet pojišťovna, jež uvedenou událost vyřizuje jako událost škodní.</w:t>
      </w:r>
    </w:p>
    <w:p w14:paraId="5C19B0C2" w14:textId="59F2E6D8" w:rsidR="00F11093" w:rsidRPr="00DA4F01" w:rsidRDefault="00DA4F01" w:rsidP="00DA4F01">
      <w:r w:rsidRPr="00DA4F01">
        <w:t>4. Vzhledem k uvedenému je tak zřejmé, že by pro rozhodnutí o povinnosti k náhradě škody a nemajetkové újmy bylo třeba provádět další dokazování, jež by podstatně protáhlo trestní řízení. Soudu proto nezbylo, než všechny poškozené s jejich nároky podle § 229 odst. 1 trestního řádu odkázat na řízení ve věcech občanskoprávních.</w:t>
      </w:r>
    </w:p>
    <w:p w14:paraId="609EF62A" w14:textId="77777777" w:rsidR="008A0B5D" w:rsidRDefault="008A0B5D" w:rsidP="008A0B5D">
      <w:pPr>
        <w:pStyle w:val="Nadpisstirozsudku"/>
      </w:pPr>
      <w:r>
        <w:t>Poučení:</w:t>
      </w:r>
    </w:p>
    <w:p w14:paraId="4D56947B" w14:textId="1AFC8FFF" w:rsidR="006B14EC" w:rsidRPr="00DA4F01" w:rsidRDefault="00DA4F01" w:rsidP="00DA4F01">
      <w:r w:rsidRPr="00DA4F01">
        <w:t>Proti tomuto rozsudku lze podat odvolání pouze v případě, že rozsudek není v souladu s dohodou o vině a trestu. Poškozený, který uplatnil nárok na náhradu škody nebo nemajetkové újmy nebo na vydání bezdůvodného obohacení, může podat odvolání pro nesprávnost výroku o náhradě škody nebo nemajetkové újmy v penězích nebo o vydání bezdůvodného obohacení, ledaže v dohodě o vině a trestu souhlasil s rozsahem a způsobem náhrady škody nebo nemajetkové újmy nebo vydáním bezdůvodného obohacení a tato dohoda byla soudem schválena v podobě, s níž souhlasil.</w:t>
      </w:r>
    </w:p>
    <w:p w14:paraId="0D8B09C1" w14:textId="417515CD" w:rsidR="006B14EC" w:rsidRPr="001F0625" w:rsidRDefault="00DA4F01" w:rsidP="006B14EC">
      <w:pPr>
        <w:keepNext/>
        <w:spacing w:before="960"/>
        <w:rPr>
          <w:szCs w:val="22"/>
        </w:rPr>
      </w:pPr>
      <w:r>
        <w:rPr>
          <w:szCs w:val="22"/>
        </w:rPr>
        <w:t>Tachov</w:t>
      </w:r>
      <w:r w:rsidR="006B14EC" w:rsidRPr="001F0625">
        <w:rPr>
          <w:szCs w:val="22"/>
        </w:rPr>
        <w:t xml:space="preserve"> </w:t>
      </w:r>
      <w:r>
        <w:t>25. července 2019</w:t>
      </w:r>
    </w:p>
    <w:p w14:paraId="2A01E723" w14:textId="6FC830DA" w:rsidR="006B69A5" w:rsidRDefault="00DA4F01" w:rsidP="00845CC2">
      <w:pPr>
        <w:keepNext/>
        <w:spacing w:before="480"/>
        <w:jc w:val="left"/>
      </w:pPr>
      <w:r>
        <w:t>Mgr. Michaela Řezníčková</w:t>
      </w:r>
      <w:r w:rsidR="006B14EC">
        <w:br/>
      </w:r>
      <w:r>
        <w:t>soudkyně</w:t>
      </w:r>
    </w:p>
    <w:sectPr w:rsidR="006B69A5" w:rsidSect="00B83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6B147" w14:textId="77777777" w:rsidR="00F13F6F" w:rsidRDefault="00F13F6F" w:rsidP="00B83118">
      <w:pPr>
        <w:spacing w:after="0"/>
      </w:pPr>
      <w:r>
        <w:separator/>
      </w:r>
    </w:p>
  </w:endnote>
  <w:endnote w:type="continuationSeparator" w:id="0">
    <w:p w14:paraId="4A3085CB" w14:textId="77777777" w:rsidR="00F13F6F" w:rsidRDefault="00F13F6F" w:rsidP="00B831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B4F1" w14:textId="77777777" w:rsidR="00DA4F01" w:rsidRDefault="00DA4F0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5B8C5" w14:textId="77777777" w:rsidR="00DA4F01" w:rsidRDefault="00DA4F0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41C8F0" w14:textId="77777777" w:rsidR="00DA4F01" w:rsidRDefault="00DA4F0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89FDF" w14:textId="77777777" w:rsidR="00F13F6F" w:rsidRDefault="00F13F6F" w:rsidP="00B83118">
      <w:pPr>
        <w:spacing w:after="0"/>
      </w:pPr>
      <w:r>
        <w:separator/>
      </w:r>
    </w:p>
  </w:footnote>
  <w:footnote w:type="continuationSeparator" w:id="0">
    <w:p w14:paraId="083B3479" w14:textId="77777777" w:rsidR="00F13F6F" w:rsidRDefault="00F13F6F" w:rsidP="00B8311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DDFAC" w14:textId="77777777" w:rsidR="00DA4F01" w:rsidRDefault="00DA4F0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B8442" w14:textId="0F6ED35D" w:rsidR="00B83118" w:rsidRDefault="00B83118">
    <w:pPr>
      <w:pStyle w:val="Zhlav"/>
    </w:pPr>
    <w:r>
      <w:tab/>
    </w:r>
    <w:r>
      <w:fldChar w:fldCharType="begin"/>
    </w:r>
    <w:r>
      <w:instrText>PAGE   \* MERGEFORMAT</w:instrText>
    </w:r>
    <w:r>
      <w:fldChar w:fldCharType="separate"/>
    </w:r>
    <w:r w:rsidR="00845CC2">
      <w:rPr>
        <w:noProof/>
      </w:rPr>
      <w:t>2</w:t>
    </w:r>
    <w:r>
      <w:fldChar w:fldCharType="end"/>
    </w:r>
    <w:r>
      <w:tab/>
    </w:r>
    <w:r w:rsidR="00DA4F01">
      <w:t>9 T 70/2019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DE4A6" w14:textId="433CAF79" w:rsidR="00B83118" w:rsidRDefault="00B83118" w:rsidP="00B83118">
    <w:pPr>
      <w:pStyle w:val="Zhlav"/>
      <w:jc w:val="right"/>
    </w:pPr>
    <w:r>
      <w:t xml:space="preserve">Číslo jednací: </w:t>
    </w:r>
    <w:r w:rsidR="00DA4F01">
      <w:t>9 T 70/2019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90936"/>
    <w:multiLevelType w:val="hybridMultilevel"/>
    <w:tmpl w:val="05086292"/>
    <w:lvl w:ilvl="0" w:tplc="B2C4BB7A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CF57E2"/>
    <w:multiLevelType w:val="hybridMultilevel"/>
    <w:tmpl w:val="646AA7D0"/>
    <w:lvl w:ilvl="0" w:tplc="04050013">
      <w:start w:val="1"/>
      <w:numFmt w:val="upperRoman"/>
      <w:lvlText w:val="%1."/>
      <w:lvlJc w:val="righ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1B92906"/>
    <w:multiLevelType w:val="hybridMultilevel"/>
    <w:tmpl w:val="68E81B32"/>
    <w:lvl w:ilvl="0" w:tplc="04050013">
      <w:start w:val="1"/>
      <w:numFmt w:val="upperRoman"/>
      <w:lvlText w:val="%1."/>
      <w:lvlJc w:val="right"/>
      <w:pPr>
        <w:ind w:left="15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85" w:hanging="360"/>
      </w:pPr>
    </w:lvl>
    <w:lvl w:ilvl="2" w:tplc="0405001B" w:tentative="1">
      <w:start w:val="1"/>
      <w:numFmt w:val="lowerRoman"/>
      <w:lvlText w:val="%3."/>
      <w:lvlJc w:val="right"/>
      <w:pPr>
        <w:ind w:left="3005" w:hanging="180"/>
      </w:pPr>
    </w:lvl>
    <w:lvl w:ilvl="3" w:tplc="0405000F" w:tentative="1">
      <w:start w:val="1"/>
      <w:numFmt w:val="decimal"/>
      <w:lvlText w:val="%4."/>
      <w:lvlJc w:val="left"/>
      <w:pPr>
        <w:ind w:left="3725" w:hanging="360"/>
      </w:pPr>
    </w:lvl>
    <w:lvl w:ilvl="4" w:tplc="04050019" w:tentative="1">
      <w:start w:val="1"/>
      <w:numFmt w:val="lowerLetter"/>
      <w:lvlText w:val="%5."/>
      <w:lvlJc w:val="left"/>
      <w:pPr>
        <w:ind w:left="4445" w:hanging="360"/>
      </w:pPr>
    </w:lvl>
    <w:lvl w:ilvl="5" w:tplc="0405001B" w:tentative="1">
      <w:start w:val="1"/>
      <w:numFmt w:val="lowerRoman"/>
      <w:lvlText w:val="%6."/>
      <w:lvlJc w:val="right"/>
      <w:pPr>
        <w:ind w:left="5165" w:hanging="180"/>
      </w:pPr>
    </w:lvl>
    <w:lvl w:ilvl="6" w:tplc="0405000F" w:tentative="1">
      <w:start w:val="1"/>
      <w:numFmt w:val="decimal"/>
      <w:lvlText w:val="%7."/>
      <w:lvlJc w:val="left"/>
      <w:pPr>
        <w:ind w:left="5885" w:hanging="360"/>
      </w:pPr>
    </w:lvl>
    <w:lvl w:ilvl="7" w:tplc="04050019" w:tentative="1">
      <w:start w:val="1"/>
      <w:numFmt w:val="lowerLetter"/>
      <w:lvlText w:val="%8."/>
      <w:lvlJc w:val="left"/>
      <w:pPr>
        <w:ind w:left="6605" w:hanging="360"/>
      </w:pPr>
    </w:lvl>
    <w:lvl w:ilvl="8" w:tplc="0405001B" w:tentative="1">
      <w:start w:val="1"/>
      <w:numFmt w:val="lowerRoman"/>
      <w:lvlText w:val="%9."/>
      <w:lvlJc w:val="right"/>
      <w:pPr>
        <w:ind w:left="7325" w:hanging="180"/>
      </w:pPr>
    </w:lvl>
  </w:abstractNum>
  <w:abstractNum w:abstractNumId="3" w15:restartNumberingAfterBreak="0">
    <w:nsid w:val="5F963F85"/>
    <w:multiLevelType w:val="hybridMultilevel"/>
    <w:tmpl w:val="921A52D6"/>
    <w:lvl w:ilvl="0" w:tplc="73DEB00E">
      <w:start w:val="1"/>
      <w:numFmt w:val="upperRoman"/>
      <w:pStyle w:val="slovanvrok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9252714">
    <w:abstractNumId w:val="2"/>
  </w:num>
  <w:num w:numId="2" w16cid:durableId="1457481125">
    <w:abstractNumId w:val="1"/>
  </w:num>
  <w:num w:numId="3" w16cid:durableId="1807507304">
    <w:abstractNumId w:val="0"/>
  </w:num>
  <w:num w:numId="4" w16cid:durableId="10540820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Vzor" w:val="AA02"/>
  </w:docVars>
  <w:rsids>
    <w:rsidRoot w:val="004203B8"/>
    <w:rsid w:val="00000E54"/>
    <w:rsid w:val="00012E95"/>
    <w:rsid w:val="000719D4"/>
    <w:rsid w:val="00073A74"/>
    <w:rsid w:val="000A01FA"/>
    <w:rsid w:val="000A2B05"/>
    <w:rsid w:val="000B1A50"/>
    <w:rsid w:val="000C0180"/>
    <w:rsid w:val="000E00A2"/>
    <w:rsid w:val="000F4402"/>
    <w:rsid w:val="001164A3"/>
    <w:rsid w:val="001421E8"/>
    <w:rsid w:val="001514AB"/>
    <w:rsid w:val="001669E1"/>
    <w:rsid w:val="00170070"/>
    <w:rsid w:val="00174606"/>
    <w:rsid w:val="00174B60"/>
    <w:rsid w:val="00176782"/>
    <w:rsid w:val="00176E37"/>
    <w:rsid w:val="001975C8"/>
    <w:rsid w:val="001B681D"/>
    <w:rsid w:val="001C30B5"/>
    <w:rsid w:val="001E580C"/>
    <w:rsid w:val="001F35BB"/>
    <w:rsid w:val="001F7B07"/>
    <w:rsid w:val="002013C4"/>
    <w:rsid w:val="002056A2"/>
    <w:rsid w:val="002216DA"/>
    <w:rsid w:val="00225561"/>
    <w:rsid w:val="00233126"/>
    <w:rsid w:val="00234D4F"/>
    <w:rsid w:val="002A77C1"/>
    <w:rsid w:val="002C5F24"/>
    <w:rsid w:val="002D0AD5"/>
    <w:rsid w:val="002F1CEE"/>
    <w:rsid w:val="003111C2"/>
    <w:rsid w:val="00313787"/>
    <w:rsid w:val="00331E8A"/>
    <w:rsid w:val="00361853"/>
    <w:rsid w:val="00383BA9"/>
    <w:rsid w:val="003926CC"/>
    <w:rsid w:val="003A37C4"/>
    <w:rsid w:val="003B38B9"/>
    <w:rsid w:val="003B7B1C"/>
    <w:rsid w:val="003C659A"/>
    <w:rsid w:val="003D0A5B"/>
    <w:rsid w:val="00417F11"/>
    <w:rsid w:val="004203B8"/>
    <w:rsid w:val="0042571C"/>
    <w:rsid w:val="00434AE9"/>
    <w:rsid w:val="00436E3D"/>
    <w:rsid w:val="0044684D"/>
    <w:rsid w:val="00446DEA"/>
    <w:rsid w:val="00473211"/>
    <w:rsid w:val="004A1EF9"/>
    <w:rsid w:val="004A5914"/>
    <w:rsid w:val="004A74B8"/>
    <w:rsid w:val="004B0928"/>
    <w:rsid w:val="004C7DF8"/>
    <w:rsid w:val="004F3881"/>
    <w:rsid w:val="00503B27"/>
    <w:rsid w:val="00503DE4"/>
    <w:rsid w:val="00511351"/>
    <w:rsid w:val="005250A5"/>
    <w:rsid w:val="00537B33"/>
    <w:rsid w:val="00540C15"/>
    <w:rsid w:val="00552EF7"/>
    <w:rsid w:val="00567131"/>
    <w:rsid w:val="00567427"/>
    <w:rsid w:val="00572B7F"/>
    <w:rsid w:val="0057488E"/>
    <w:rsid w:val="005A000B"/>
    <w:rsid w:val="005A4DE1"/>
    <w:rsid w:val="005A6E65"/>
    <w:rsid w:val="005D22A9"/>
    <w:rsid w:val="005D24AF"/>
    <w:rsid w:val="005F1575"/>
    <w:rsid w:val="00604F22"/>
    <w:rsid w:val="00613A5A"/>
    <w:rsid w:val="00617ECD"/>
    <w:rsid w:val="00642671"/>
    <w:rsid w:val="006474FE"/>
    <w:rsid w:val="00654C4F"/>
    <w:rsid w:val="006B14EC"/>
    <w:rsid w:val="006B3C27"/>
    <w:rsid w:val="006B3DFB"/>
    <w:rsid w:val="006B69A5"/>
    <w:rsid w:val="006D2084"/>
    <w:rsid w:val="006F0E2E"/>
    <w:rsid w:val="006F60BD"/>
    <w:rsid w:val="007501FE"/>
    <w:rsid w:val="007516B8"/>
    <w:rsid w:val="00771553"/>
    <w:rsid w:val="007B487E"/>
    <w:rsid w:val="007C71EA"/>
    <w:rsid w:val="007C7CA8"/>
    <w:rsid w:val="007E39CF"/>
    <w:rsid w:val="007F11B7"/>
    <w:rsid w:val="00807782"/>
    <w:rsid w:val="00845CC2"/>
    <w:rsid w:val="008527CE"/>
    <w:rsid w:val="0085450F"/>
    <w:rsid w:val="00856A9C"/>
    <w:rsid w:val="00860D5B"/>
    <w:rsid w:val="008703F5"/>
    <w:rsid w:val="008A029B"/>
    <w:rsid w:val="008A0B5D"/>
    <w:rsid w:val="008B5559"/>
    <w:rsid w:val="008D252B"/>
    <w:rsid w:val="008E0E38"/>
    <w:rsid w:val="008F75B7"/>
    <w:rsid w:val="009163EB"/>
    <w:rsid w:val="0092758B"/>
    <w:rsid w:val="00933274"/>
    <w:rsid w:val="00941B3B"/>
    <w:rsid w:val="00942E4D"/>
    <w:rsid w:val="0094685E"/>
    <w:rsid w:val="00970E18"/>
    <w:rsid w:val="009859E1"/>
    <w:rsid w:val="00993AC7"/>
    <w:rsid w:val="009D4451"/>
    <w:rsid w:val="00A26B11"/>
    <w:rsid w:val="00A26CB2"/>
    <w:rsid w:val="00A456BC"/>
    <w:rsid w:val="00A479E4"/>
    <w:rsid w:val="00A7495D"/>
    <w:rsid w:val="00AC2E5F"/>
    <w:rsid w:val="00AC5CE3"/>
    <w:rsid w:val="00B0321B"/>
    <w:rsid w:val="00B27796"/>
    <w:rsid w:val="00B5161D"/>
    <w:rsid w:val="00B83118"/>
    <w:rsid w:val="00BD3335"/>
    <w:rsid w:val="00BD41F9"/>
    <w:rsid w:val="00BE05C2"/>
    <w:rsid w:val="00BE1B45"/>
    <w:rsid w:val="00BE3229"/>
    <w:rsid w:val="00BF04A3"/>
    <w:rsid w:val="00C1541A"/>
    <w:rsid w:val="00C45CC2"/>
    <w:rsid w:val="00C52C00"/>
    <w:rsid w:val="00C70353"/>
    <w:rsid w:val="00C721C5"/>
    <w:rsid w:val="00C7783E"/>
    <w:rsid w:val="00C941D1"/>
    <w:rsid w:val="00CA0B0E"/>
    <w:rsid w:val="00CA3A12"/>
    <w:rsid w:val="00CB30BB"/>
    <w:rsid w:val="00CB4027"/>
    <w:rsid w:val="00CC4728"/>
    <w:rsid w:val="00CD3600"/>
    <w:rsid w:val="00CE2E3A"/>
    <w:rsid w:val="00CE7753"/>
    <w:rsid w:val="00D021FC"/>
    <w:rsid w:val="00D2392F"/>
    <w:rsid w:val="00D414F7"/>
    <w:rsid w:val="00D80197"/>
    <w:rsid w:val="00D8162D"/>
    <w:rsid w:val="00DA4F01"/>
    <w:rsid w:val="00DB4AFB"/>
    <w:rsid w:val="00DD6756"/>
    <w:rsid w:val="00E028FD"/>
    <w:rsid w:val="00E102AB"/>
    <w:rsid w:val="00E1676B"/>
    <w:rsid w:val="00E25261"/>
    <w:rsid w:val="00E25ADF"/>
    <w:rsid w:val="00E40A50"/>
    <w:rsid w:val="00E44642"/>
    <w:rsid w:val="00E50664"/>
    <w:rsid w:val="00E77DA8"/>
    <w:rsid w:val="00EA5167"/>
    <w:rsid w:val="00EE024F"/>
    <w:rsid w:val="00EF3778"/>
    <w:rsid w:val="00F024FB"/>
    <w:rsid w:val="00F11093"/>
    <w:rsid w:val="00F13F6F"/>
    <w:rsid w:val="00F240E4"/>
    <w:rsid w:val="00F308CF"/>
    <w:rsid w:val="00F3617B"/>
    <w:rsid w:val="00F52F99"/>
    <w:rsid w:val="00F54A66"/>
    <w:rsid w:val="00F66B0F"/>
    <w:rsid w:val="00F72C47"/>
    <w:rsid w:val="00F758AA"/>
    <w:rsid w:val="00F914FF"/>
    <w:rsid w:val="00F9277E"/>
    <w:rsid w:val="00F96142"/>
    <w:rsid w:val="00FC5371"/>
    <w:rsid w:val="00FC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56CDE"/>
  <w15:docId w15:val="{FD60CB21-8CC6-42B8-BCEE-0BA03467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2C47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 w:cs="Calibri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ind w:firstLine="708"/>
      <w:textAlignment w:val="baseline"/>
    </w:pPr>
    <w:rPr>
      <w:szCs w:val="22"/>
    </w:rPr>
  </w:style>
  <w:style w:type="character" w:styleId="Odkaznakoment">
    <w:name w:val="annotation reference"/>
    <w:uiPriority w:val="99"/>
    <w:semiHidden/>
    <w:unhideWhenUsed/>
    <w:rsid w:val="00B032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321B"/>
    <w:rPr>
      <w:rFonts w:ascii="Times New Roman" w:hAnsi="Times New Roman" w:cs="Times New Roman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B0321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321B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0321B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321B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0321B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4203B8"/>
    <w:pPr>
      <w:ind w:left="720"/>
      <w:contextualSpacing/>
    </w:pPr>
  </w:style>
  <w:style w:type="paragraph" w:customStyle="1" w:styleId="Nadpisstirozsudku">
    <w:name w:val="Nadpis části rozsudku"/>
    <w:basedOn w:val="Normln"/>
    <w:link w:val="NadpisstirozsudkuChar"/>
    <w:qFormat/>
    <w:rsid w:val="008A0B5D"/>
    <w:pPr>
      <w:spacing w:before="240"/>
      <w:jc w:val="center"/>
    </w:pPr>
    <w:rPr>
      <w:b/>
    </w:rPr>
  </w:style>
  <w:style w:type="character" w:customStyle="1" w:styleId="NadpisstirozsudkuChar">
    <w:name w:val="Nadpis části rozsudku Char"/>
    <w:basedOn w:val="Standardnpsmoodstavce"/>
    <w:link w:val="Nadpisstirozsudku"/>
    <w:rsid w:val="008A0B5D"/>
    <w:rPr>
      <w:rFonts w:ascii="Garamond" w:eastAsia="Times New Roman" w:hAnsi="Garamond" w:cs="Calibri"/>
      <w:b/>
      <w:sz w:val="24"/>
    </w:rPr>
  </w:style>
  <w:style w:type="paragraph" w:customStyle="1" w:styleId="slovanvrok">
    <w:name w:val="Číslovaný výrok"/>
    <w:basedOn w:val="Odstavecseseznamem"/>
    <w:link w:val="slovanvrokChar"/>
    <w:qFormat/>
    <w:rsid w:val="00941B3B"/>
    <w:pPr>
      <w:numPr>
        <w:numId w:val="4"/>
      </w:numPr>
      <w:ind w:left="568" w:hanging="284"/>
      <w:contextualSpacing w:val="0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4F3881"/>
    <w:rPr>
      <w:rFonts w:ascii="Garamond" w:eastAsia="Times New Roman" w:hAnsi="Garamond" w:cs="Calibri"/>
      <w:sz w:val="24"/>
    </w:rPr>
  </w:style>
  <w:style w:type="character" w:customStyle="1" w:styleId="slovanvrokChar">
    <w:name w:val="Číslovaný výrok Char"/>
    <w:basedOn w:val="OdstavecseseznamemChar"/>
    <w:link w:val="slovanvrok"/>
    <w:rsid w:val="00941B3B"/>
    <w:rPr>
      <w:rFonts w:ascii="Garamond" w:eastAsia="Times New Roman" w:hAnsi="Garamond" w:cs="Calibri"/>
      <w:sz w:val="24"/>
    </w:rPr>
  </w:style>
  <w:style w:type="paragraph" w:customStyle="1" w:styleId="Neslovanvrok">
    <w:name w:val="Nečíslovaný výrok"/>
    <w:basedOn w:val="slovanvrok"/>
    <w:link w:val="NeslovanvrokChar"/>
    <w:qFormat/>
    <w:rsid w:val="00941B3B"/>
    <w:pPr>
      <w:numPr>
        <w:numId w:val="0"/>
      </w:numPr>
      <w:ind w:left="567"/>
    </w:pPr>
  </w:style>
  <w:style w:type="character" w:customStyle="1" w:styleId="NeslovanvrokChar">
    <w:name w:val="Nečíslovaný výrok Char"/>
    <w:basedOn w:val="slovanvrokChar"/>
    <w:link w:val="Neslovanvrok"/>
    <w:rsid w:val="00941B3B"/>
    <w:rPr>
      <w:rFonts w:ascii="Garamond" w:eastAsia="Times New Roman" w:hAnsi="Garamond" w:cs="Calibri"/>
      <w:sz w:val="24"/>
    </w:rPr>
  </w:style>
  <w:style w:type="paragraph" w:customStyle="1" w:styleId="Odstaveczhlav">
    <w:name w:val="Odstavec záhlaví"/>
    <w:basedOn w:val="Neslovanvrok"/>
    <w:link w:val="OdstaveczhlavChar"/>
    <w:qFormat/>
    <w:rsid w:val="000E00A2"/>
    <w:pPr>
      <w:tabs>
        <w:tab w:val="left" w:pos="1985"/>
      </w:tabs>
      <w:spacing w:before="120" w:after="0"/>
      <w:ind w:left="1985" w:hanging="1985"/>
    </w:pPr>
  </w:style>
  <w:style w:type="character" w:customStyle="1" w:styleId="OdstaveczhlavChar">
    <w:name w:val="Odstavec záhlaví Char"/>
    <w:basedOn w:val="NeslovanvrokChar"/>
    <w:link w:val="Odstaveczhlav"/>
    <w:rsid w:val="000E00A2"/>
    <w:rPr>
      <w:rFonts w:ascii="Garamond" w:eastAsia="Times New Roman" w:hAnsi="Garamond" w:cs="Calibri"/>
      <w:sz w:val="24"/>
    </w:rPr>
  </w:style>
  <w:style w:type="paragraph" w:styleId="Zhlav">
    <w:name w:val="header"/>
    <w:basedOn w:val="Normln"/>
    <w:link w:val="Zhlav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B83118"/>
    <w:rPr>
      <w:rFonts w:ascii="Garamond" w:eastAsia="Times New Roman" w:hAnsi="Garamond" w:cs="Calibri"/>
      <w:sz w:val="24"/>
    </w:rPr>
  </w:style>
  <w:style w:type="paragraph" w:styleId="Zpat">
    <w:name w:val="footer"/>
    <w:basedOn w:val="Normln"/>
    <w:link w:val="ZpatChar"/>
    <w:uiPriority w:val="99"/>
    <w:unhideWhenUsed/>
    <w:rsid w:val="00B8311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B83118"/>
    <w:rPr>
      <w:rFonts w:ascii="Garamond" w:eastAsia="Times New Roman" w:hAnsi="Garamond" w:cs="Calibr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2490</Words>
  <Characters>14691</Characters>
  <Application>Microsoft Office Word</Application>
  <DocSecurity>0</DocSecurity>
  <Lines>122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Gracliková Martina</dc:creator>
  <cp:lastModifiedBy>Gracliková Martina</cp:lastModifiedBy>
  <cp:revision>1</cp:revision>
  <cp:lastPrinted>2026-04-13T15:31:00Z</cp:lastPrinted>
  <dcterms:created xsi:type="dcterms:W3CDTF">2026-04-13T15:31:00Z</dcterms:created>
  <dcterms:modified xsi:type="dcterms:W3CDTF">2026-04-13T15:33:00Z</dcterms:modified>
</cp:coreProperties>
</file>