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3C29EA" w:rsidRDefault="003C29EA" w:rsidP="003C29EA">
      <w:pPr>
        <w:pStyle w:val="Odstaveczhlav"/>
      </w:pPr>
      <w:r w:rsidRPr="003C29EA">
        <w:t>Okresní soud v Tachově rozhodl samosoudkyní Mgr. Kateřinou Edlovou ve věci</w:t>
      </w:r>
    </w:p>
    <w:p w:rsidR="003C29EA" w:rsidRDefault="003C29EA" w:rsidP="003C29EA">
      <w:pPr>
        <w:pStyle w:val="Odstaveczhlav"/>
        <w:jc w:val="left"/>
      </w:pPr>
      <w:r w:rsidRPr="003C29EA">
        <w:t>žalobce:</w:t>
      </w:r>
      <w:r w:rsidRPr="003C29EA">
        <w:tab/>
      </w:r>
      <w:r>
        <w:t>[</w:t>
      </w:r>
      <w:r w:rsidRPr="003C29EA">
        <w:rPr>
          <w:shd w:val="clear" w:color="auto" w:fill="CCCCCC"/>
        </w:rPr>
        <w:t>osobní údaje žalobce</w:t>
      </w:r>
      <w:r w:rsidRPr="003C29EA">
        <w:t>]</w:t>
      </w:r>
    </w:p>
    <w:p w:rsidR="003C29EA" w:rsidRDefault="003C29EA" w:rsidP="003C29EA">
      <w:pPr>
        <w:pStyle w:val="Odstaveczhlav"/>
        <w:jc w:val="left"/>
      </w:pPr>
      <w:r w:rsidRPr="003C29EA">
        <w:tab/>
        <w:t xml:space="preserve">sídlem </w:t>
      </w:r>
      <w:r>
        <w:t>[</w:t>
      </w:r>
      <w:r w:rsidRPr="003C29EA">
        <w:rPr>
          <w:shd w:val="clear" w:color="auto" w:fill="CCCCCC"/>
        </w:rPr>
        <w:t>adresa</w:t>
      </w:r>
      <w:r w:rsidRPr="003C29EA">
        <w:t xml:space="preserve">], </w:t>
      </w:r>
      <w:r>
        <w:t>[</w:t>
      </w:r>
      <w:r w:rsidRPr="003C29EA">
        <w:rPr>
          <w:shd w:val="clear" w:color="auto" w:fill="CCCCCC"/>
        </w:rPr>
        <w:t>PSČ</w:t>
      </w:r>
      <w:r w:rsidRPr="003C29EA">
        <w:t xml:space="preserve">], </w:t>
      </w:r>
      <w:r>
        <w:t>[</w:t>
      </w:r>
      <w:r w:rsidRPr="003C29EA">
        <w:rPr>
          <w:shd w:val="clear" w:color="auto" w:fill="CCCCCC"/>
        </w:rPr>
        <w:t>obec a číslo</w:t>
      </w:r>
      <w:r w:rsidRPr="003C29EA">
        <w:t>]</w:t>
      </w:r>
    </w:p>
    <w:p w:rsidR="003C29EA" w:rsidRDefault="003C29EA" w:rsidP="003C29EA">
      <w:pPr>
        <w:pStyle w:val="Odstaveczhlav"/>
        <w:jc w:val="left"/>
      </w:pPr>
      <w:r w:rsidRPr="003C29EA">
        <w:tab/>
        <w:t xml:space="preserve">zastoupený advokátem JUDr. </w:t>
      </w:r>
      <w:r>
        <w:t>[</w:t>
      </w:r>
      <w:r w:rsidRPr="003C29EA">
        <w:rPr>
          <w:shd w:val="clear" w:color="auto" w:fill="CCCCCC"/>
        </w:rPr>
        <w:t>jméno</w:t>
      </w:r>
      <w:r w:rsidRPr="003C29EA">
        <w:t xml:space="preserve">] </w:t>
      </w:r>
      <w:r>
        <w:t>[</w:t>
      </w:r>
      <w:r w:rsidRPr="003C29EA">
        <w:rPr>
          <w:shd w:val="clear" w:color="auto" w:fill="CCCCCC"/>
        </w:rPr>
        <w:t>příjmení</w:t>
      </w:r>
      <w:r w:rsidRPr="003C29EA">
        <w:t>], LL.M., Ph.D.</w:t>
      </w:r>
    </w:p>
    <w:p w:rsidR="003C29EA" w:rsidRDefault="003C29EA" w:rsidP="003C29EA">
      <w:pPr>
        <w:pStyle w:val="Odstaveczhlav"/>
        <w:jc w:val="left"/>
      </w:pPr>
      <w:r w:rsidRPr="003C29EA">
        <w:tab/>
        <w:t xml:space="preserve">sídlem </w:t>
      </w:r>
      <w:r>
        <w:t>[</w:t>
      </w:r>
      <w:r w:rsidRPr="003C29EA">
        <w:rPr>
          <w:shd w:val="clear" w:color="auto" w:fill="CCCCCC"/>
        </w:rPr>
        <w:t>adresa</w:t>
      </w:r>
      <w:r w:rsidRPr="003C29EA">
        <w:t xml:space="preserve">], </w:t>
      </w:r>
      <w:r>
        <w:t>[</w:t>
      </w:r>
      <w:r w:rsidRPr="003C29EA">
        <w:rPr>
          <w:shd w:val="clear" w:color="auto" w:fill="CCCCCC"/>
        </w:rPr>
        <w:t>obec a číslo</w:t>
      </w:r>
      <w:r w:rsidRPr="003C29EA">
        <w:t>]</w:t>
      </w:r>
    </w:p>
    <w:p w:rsidR="003C29EA" w:rsidRDefault="003C29EA" w:rsidP="003C29EA">
      <w:pPr>
        <w:pStyle w:val="Odstaveczhlav"/>
      </w:pPr>
      <w:r w:rsidRPr="003C29EA">
        <w:t>proti</w:t>
      </w:r>
    </w:p>
    <w:p w:rsidR="003C29EA" w:rsidRDefault="003C29EA" w:rsidP="003C29EA">
      <w:pPr>
        <w:pStyle w:val="Odstaveczhlav"/>
      </w:pPr>
      <w:r w:rsidRPr="003C29EA">
        <w:t>žalovanému:</w:t>
      </w:r>
      <w:r w:rsidRPr="003C29EA">
        <w:tab/>
      </w:r>
      <w:r>
        <w:t>[</w:t>
      </w:r>
      <w:r w:rsidRPr="003C29EA">
        <w:rPr>
          <w:shd w:val="clear" w:color="auto" w:fill="CCCCCC"/>
        </w:rPr>
        <w:t>osobní údaje žalovaného</w:t>
      </w:r>
      <w:r w:rsidRPr="003C29EA">
        <w:t>]</w:t>
      </w:r>
    </w:p>
    <w:p w:rsidR="003C29EA" w:rsidRDefault="003C29EA" w:rsidP="003C29EA">
      <w:pPr>
        <w:pStyle w:val="Odstaveczhlav"/>
      </w:pPr>
      <w:r w:rsidRPr="003C29EA">
        <w:tab/>
        <w:t xml:space="preserve">bytem </w:t>
      </w:r>
      <w:r>
        <w:t>[</w:t>
      </w:r>
      <w:r w:rsidRPr="003C29EA">
        <w:rPr>
          <w:shd w:val="clear" w:color="auto" w:fill="CCCCCC"/>
        </w:rPr>
        <w:t>adresa žalovaného</w:t>
      </w:r>
      <w:r w:rsidRPr="003C29EA">
        <w:t xml:space="preserve">], </w:t>
      </w:r>
      <w:r>
        <w:t>[</w:t>
      </w:r>
      <w:r w:rsidRPr="003C29EA">
        <w:rPr>
          <w:shd w:val="clear" w:color="auto" w:fill="CCCCCC"/>
        </w:rPr>
        <w:t>obec</w:t>
      </w:r>
      <w:r w:rsidRPr="003C29EA">
        <w:t>]</w:t>
      </w:r>
    </w:p>
    <w:p w:rsidR="003C29EA" w:rsidRDefault="003C29EA" w:rsidP="003C29EA">
      <w:pPr>
        <w:pStyle w:val="Odstaveczhlav"/>
      </w:pPr>
      <w:r w:rsidRPr="003C29EA">
        <w:tab/>
        <w:t xml:space="preserve">zastoupený advokátem JUDr. </w:t>
      </w:r>
      <w:r>
        <w:t>[</w:t>
      </w:r>
      <w:r w:rsidRPr="003C29EA">
        <w:rPr>
          <w:shd w:val="clear" w:color="auto" w:fill="CCCCCC"/>
        </w:rPr>
        <w:t>jméno</w:t>
      </w:r>
      <w:r w:rsidRPr="003C29EA">
        <w:t xml:space="preserve">] </w:t>
      </w:r>
      <w:r>
        <w:t>[</w:t>
      </w:r>
      <w:r w:rsidRPr="003C29EA">
        <w:rPr>
          <w:shd w:val="clear" w:color="auto" w:fill="CCCCCC"/>
        </w:rPr>
        <w:t>příjmení</w:t>
      </w:r>
      <w:r w:rsidRPr="003C29EA">
        <w:t>]</w:t>
      </w:r>
    </w:p>
    <w:p w:rsidR="003C29EA" w:rsidRDefault="003C29EA" w:rsidP="003C29EA">
      <w:pPr>
        <w:pStyle w:val="Odstaveczhlav"/>
      </w:pPr>
      <w:r w:rsidRPr="003C29EA">
        <w:tab/>
        <w:t xml:space="preserve">sídlem </w:t>
      </w:r>
      <w:r>
        <w:t>[</w:t>
      </w:r>
      <w:r w:rsidRPr="003C29EA">
        <w:rPr>
          <w:shd w:val="clear" w:color="auto" w:fill="CCCCCC"/>
        </w:rPr>
        <w:t>adresa</w:t>
      </w:r>
      <w:r w:rsidRPr="003C29EA">
        <w:t xml:space="preserve">], </w:t>
      </w:r>
      <w:r>
        <w:t>[</w:t>
      </w:r>
      <w:r w:rsidRPr="003C29EA">
        <w:rPr>
          <w:shd w:val="clear" w:color="auto" w:fill="CCCCCC"/>
        </w:rPr>
        <w:t>obec a číslo</w:t>
      </w:r>
      <w:r w:rsidRPr="003C29EA">
        <w:t>]</w:t>
      </w:r>
    </w:p>
    <w:p w:rsidR="004A5914" w:rsidRPr="003C29EA" w:rsidRDefault="003C29EA" w:rsidP="003C29EA">
      <w:pPr>
        <w:pStyle w:val="Odstaveczhlav"/>
        <w:rPr>
          <w:b/>
        </w:rPr>
      </w:pPr>
      <w:r w:rsidRPr="003C29EA">
        <w:rPr>
          <w:b/>
        </w:rPr>
        <w:t>o zrušení a vypořádání podílového spoluvlastnictví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3C29EA" w:rsidRDefault="003C29EA" w:rsidP="003C29EA">
      <w:pPr>
        <w:pStyle w:val="slovanvrok"/>
        <w:jc w:val="left"/>
        <w:rPr>
          <w:b/>
        </w:rPr>
      </w:pPr>
      <w:r w:rsidRPr="003C29EA">
        <w:rPr>
          <w:b/>
        </w:rPr>
        <w:t>Soud schvaluje tento účastníky uzavřený smír:</w:t>
      </w:r>
    </w:p>
    <w:p w:rsidR="003C29EA" w:rsidRDefault="003C29EA" w:rsidP="003C29EA">
      <w:pPr>
        <w:pStyle w:val="Neslovanvrok"/>
        <w:rPr>
          <w:b/>
        </w:rPr>
      </w:pPr>
      <w:r w:rsidRPr="003C29EA">
        <w:rPr>
          <w:b/>
        </w:rPr>
        <w:t xml:space="preserve">Zrušuje se podílové spoluvlastnictví účastníků k pozemku parc. č. st. </w:t>
      </w:r>
      <w:r>
        <w:rPr>
          <w:b/>
        </w:rPr>
        <w:t>[</w:t>
      </w:r>
      <w:r w:rsidRPr="003C29EA">
        <w:rPr>
          <w:b/>
          <w:shd w:val="clear" w:color="auto" w:fill="CCCCCC"/>
        </w:rPr>
        <w:t>číslo</w:t>
      </w:r>
      <w:r w:rsidRPr="003C29EA">
        <w:rPr>
          <w:b/>
        </w:rPr>
        <w:t xml:space="preserve">], zastavěná plocha a nádvoří, jehož součástí je stavba </w:t>
      </w:r>
      <w:r>
        <w:rPr>
          <w:b/>
        </w:rPr>
        <w:t>[</w:t>
      </w:r>
      <w:r w:rsidRPr="003C29EA">
        <w:rPr>
          <w:b/>
          <w:shd w:val="clear" w:color="auto" w:fill="CCCCCC"/>
        </w:rPr>
        <w:t>obec</w:t>
      </w:r>
      <w:r w:rsidRPr="003C29EA">
        <w:rPr>
          <w:b/>
        </w:rPr>
        <w:t xml:space="preserve">], </w:t>
      </w:r>
      <w:r>
        <w:rPr>
          <w:b/>
        </w:rPr>
        <w:t>[</w:t>
      </w:r>
      <w:r w:rsidRPr="003C29EA">
        <w:rPr>
          <w:b/>
          <w:shd w:val="clear" w:color="auto" w:fill="CCCCCC"/>
        </w:rPr>
        <w:t>adresa</w:t>
      </w:r>
      <w:r w:rsidRPr="003C29EA">
        <w:rPr>
          <w:b/>
        </w:rPr>
        <w:t xml:space="preserve">] rodinný dům, k pozemku parc. č. st. </w:t>
      </w:r>
      <w:r>
        <w:rPr>
          <w:b/>
        </w:rPr>
        <w:t>[</w:t>
      </w:r>
      <w:r w:rsidRPr="003C29EA">
        <w:rPr>
          <w:b/>
          <w:shd w:val="clear" w:color="auto" w:fill="CCCCCC"/>
        </w:rPr>
        <w:t>číslo</w:t>
      </w:r>
      <w:r w:rsidRPr="003C29EA">
        <w:rPr>
          <w:b/>
        </w:rPr>
        <w:t xml:space="preserve">], zastavěná plocha a nádvoří, jehož součástí je stavba bez čp/če jiná stavba a k pozemku parc. </w:t>
      </w:r>
      <w:r>
        <w:rPr>
          <w:b/>
        </w:rPr>
        <w:t>[</w:t>
      </w:r>
      <w:r w:rsidRPr="003C29EA">
        <w:rPr>
          <w:b/>
          <w:shd w:val="clear" w:color="auto" w:fill="CCCCCC"/>
        </w:rPr>
        <w:t>číslo</w:t>
      </w:r>
      <w:r w:rsidRPr="003C29EA">
        <w:rPr>
          <w:b/>
        </w:rPr>
        <w:t xml:space="preserve">] zahrada, vše zapsáno na </w:t>
      </w:r>
      <w:r>
        <w:rPr>
          <w:b/>
        </w:rPr>
        <w:t>[</w:t>
      </w:r>
      <w:r w:rsidRPr="003C29EA">
        <w:rPr>
          <w:b/>
          <w:shd w:val="clear" w:color="auto" w:fill="CCCCCC"/>
        </w:rPr>
        <w:t>list vlastnictví</w:t>
      </w:r>
      <w:r w:rsidRPr="003C29EA">
        <w:rPr>
          <w:b/>
        </w:rPr>
        <w:t xml:space="preserve">] pro </w:t>
      </w:r>
      <w:r>
        <w:rPr>
          <w:b/>
        </w:rPr>
        <w:t>[</w:t>
      </w:r>
      <w:r w:rsidRPr="003C29EA">
        <w:rPr>
          <w:b/>
          <w:shd w:val="clear" w:color="auto" w:fill="CCCCCC"/>
        </w:rPr>
        <w:t>katastrální uzemí</w:t>
      </w:r>
      <w:r w:rsidRPr="003C29EA">
        <w:rPr>
          <w:b/>
        </w:rPr>
        <w:t xml:space="preserve">], </w:t>
      </w:r>
      <w:r>
        <w:rPr>
          <w:b/>
        </w:rPr>
        <w:t>[</w:t>
      </w:r>
      <w:r w:rsidRPr="003C29EA">
        <w:rPr>
          <w:b/>
          <w:shd w:val="clear" w:color="auto" w:fill="CCCCCC"/>
        </w:rPr>
        <w:t>územní celek</w:t>
      </w:r>
      <w:r w:rsidRPr="003C29EA">
        <w:rPr>
          <w:b/>
        </w:rPr>
        <w:t>] u Katastrálního úřadu pro Plzeňský kraj, Katastrální pracoviště Tachov.</w:t>
      </w:r>
    </w:p>
    <w:p w:rsidR="003C29EA" w:rsidRDefault="003C29EA" w:rsidP="003C29EA">
      <w:pPr>
        <w:pStyle w:val="Neslovanvrok"/>
        <w:rPr>
          <w:b/>
        </w:rPr>
      </w:pPr>
      <w:r w:rsidRPr="003C29EA">
        <w:rPr>
          <w:b/>
        </w:rPr>
        <w:t>Všechny uvedené nemovitosti nabývá do výlučného vlastnictví žalovaný.</w:t>
      </w:r>
    </w:p>
    <w:p w:rsidR="003C29EA" w:rsidRDefault="003C29EA" w:rsidP="003C29EA">
      <w:pPr>
        <w:pStyle w:val="Neslovanvrok"/>
        <w:rPr>
          <w:b/>
        </w:rPr>
      </w:pPr>
      <w:r w:rsidRPr="003C29EA">
        <w:rPr>
          <w:b/>
        </w:rPr>
        <w:t>Žalovaný se zavazuje zaplatit žalobci na vypořádání částku 645 833,30 Kč do 20ti dnů od právní moci usnesení o schválení soudního smíru.</w:t>
      </w:r>
    </w:p>
    <w:p w:rsidR="003C29EA" w:rsidRDefault="003C29EA" w:rsidP="003C29EA">
      <w:pPr>
        <w:pStyle w:val="Neslovanvrok"/>
        <w:rPr>
          <w:b/>
        </w:rPr>
      </w:pPr>
      <w:r w:rsidRPr="003C29EA">
        <w:rPr>
          <w:b/>
        </w:rPr>
        <w:t>Žádný z účastníků nemá právo na náhradu nákladů řízení.</w:t>
      </w:r>
    </w:p>
    <w:p w:rsidR="003C29EA" w:rsidRDefault="003C29EA" w:rsidP="003C29EA">
      <w:pPr>
        <w:pStyle w:val="slovanvrok"/>
        <w:rPr>
          <w:b/>
        </w:rPr>
      </w:pPr>
      <w:r w:rsidRPr="003C29EA">
        <w:rPr>
          <w:b/>
        </w:rPr>
        <w:t>Žalobci bude po právní moci tohoto usnesení vrácena část zaplaceného soudního poplatku ve výši 5 600 Kč.</w:t>
      </w:r>
    </w:p>
    <w:p w:rsidR="003C29EA" w:rsidRDefault="003C29EA" w:rsidP="003C29EA">
      <w:pPr>
        <w:pStyle w:val="slovanvrok"/>
        <w:rPr>
          <w:b/>
        </w:rPr>
      </w:pPr>
      <w:r w:rsidRPr="003C29EA">
        <w:rPr>
          <w:b/>
        </w:rPr>
        <w:t xml:space="preserve">Žalobce je povinen zaplatit státu České republice na účet Okresního soudu v Tachově jednu polovinu náhrady nákladů státu ve výši 8 794 Kč, do tří dnů od právní moci tohoto usnesení na účet </w:t>
      </w:r>
      <w:r>
        <w:rPr>
          <w:b/>
        </w:rPr>
        <w:t>[</w:t>
      </w:r>
      <w:r w:rsidRPr="003C29EA">
        <w:rPr>
          <w:b/>
          <w:shd w:val="clear" w:color="auto" w:fill="CCCCCC"/>
        </w:rPr>
        <w:t>číslo</w:t>
      </w:r>
      <w:r w:rsidRPr="003C29EA">
        <w:rPr>
          <w:b/>
        </w:rPr>
        <w:t xml:space="preserve">] </w:t>
      </w:r>
      <w:r>
        <w:rPr>
          <w:b/>
        </w:rPr>
        <w:t>[</w:t>
      </w:r>
      <w:r w:rsidRPr="003C29EA">
        <w:rPr>
          <w:b/>
          <w:shd w:val="clear" w:color="auto" w:fill="CCCCCC"/>
        </w:rPr>
        <w:t>variabilní symbol</w:t>
      </w:r>
      <w:r w:rsidRPr="003C29EA">
        <w:rPr>
          <w:b/>
        </w:rPr>
        <w:t>].</w:t>
      </w:r>
    </w:p>
    <w:p w:rsidR="008A0B5D" w:rsidRPr="003C29EA" w:rsidRDefault="003C29EA" w:rsidP="003C29EA">
      <w:pPr>
        <w:pStyle w:val="slovanvrok"/>
        <w:rPr>
          <w:b/>
        </w:rPr>
      </w:pPr>
      <w:r w:rsidRPr="003C29EA">
        <w:rPr>
          <w:b/>
        </w:rPr>
        <w:t xml:space="preserve">Žalovaný je povinen zaplatit státu České republice na účet Okresního soudu v Tachově jednu polovinu náhrady nákladů státu ve výši 8 794 Kč, do tří dnů od právní moci tohoto usnesení na účet </w:t>
      </w:r>
      <w:r>
        <w:rPr>
          <w:b/>
        </w:rPr>
        <w:t>[</w:t>
      </w:r>
      <w:r w:rsidRPr="003C29EA">
        <w:rPr>
          <w:b/>
          <w:shd w:val="clear" w:color="auto" w:fill="CCCCCC"/>
        </w:rPr>
        <w:t>číslo</w:t>
      </w:r>
      <w:r w:rsidRPr="003C29EA">
        <w:rPr>
          <w:b/>
        </w:rPr>
        <w:t xml:space="preserve">] </w:t>
      </w:r>
      <w:r>
        <w:rPr>
          <w:b/>
        </w:rPr>
        <w:t>[</w:t>
      </w:r>
      <w:r w:rsidRPr="003C29EA">
        <w:rPr>
          <w:b/>
          <w:shd w:val="clear" w:color="auto" w:fill="CCCCCC"/>
        </w:rPr>
        <w:t>variabilní symbol</w:t>
      </w:r>
      <w:r w:rsidRPr="003C29EA">
        <w:rPr>
          <w:b/>
        </w:rPr>
        <w:t>].</w:t>
      </w:r>
    </w:p>
    <w:p w:rsidR="008A0B5D" w:rsidRDefault="008A0B5D" w:rsidP="008A0B5D">
      <w:pPr>
        <w:pStyle w:val="Nadpisstirozsudku"/>
      </w:pPr>
      <w:r>
        <w:t>Odůvodnění:</w:t>
      </w:r>
    </w:p>
    <w:p w:rsidR="003C29EA" w:rsidRDefault="003C29EA" w:rsidP="003C29EA">
      <w:r w:rsidRPr="003C29EA">
        <w:t xml:space="preserve">1. Podanou žalobou se žalobce domáhal zrušení podílového spoluvlastnictví k nemovitostem specifikovaným ve výroku I. tohoto usnesení. Žalobu odůvodnil tím, že žalobce a žalovaný jsou spoluvlastníky nemovitostí, přičemž žalobce vlastní id. </w:t>
      </w:r>
      <w:r>
        <w:t>[</w:t>
      </w:r>
      <w:r w:rsidRPr="003C29EA">
        <w:rPr>
          <w:shd w:val="clear" w:color="auto" w:fill="CCCCCC"/>
        </w:rPr>
        <w:t>číslo</w:t>
      </w:r>
      <w:r w:rsidRPr="003C29EA">
        <w:t xml:space="preserve">] nemovitostí a žalovaný vlastní id. </w:t>
      </w:r>
      <w:r>
        <w:t>[</w:t>
      </w:r>
      <w:r w:rsidRPr="003C29EA">
        <w:rPr>
          <w:shd w:val="clear" w:color="auto" w:fill="CCCCCC"/>
        </w:rPr>
        <w:t>číslo</w:t>
      </w:r>
      <w:r w:rsidRPr="003C29EA">
        <w:t xml:space="preserve">] nemovitostí. Jelikož již žalobce nechce setrvávat ve spoluvlastnictví se žalovaným a na vypořádání se nedohodli, navrhuje zrušení spoluvlastnictví s tím, nechť jsou nemovitosti přikázány </w:t>
      </w:r>
      <w:r w:rsidRPr="003C29EA">
        <w:lastRenderedPageBreak/>
        <w:t>do vlastnictví žalovaného a zároveň aby mu byla uložena povinnost zaplatit žalobci částku ve výši 1 062 500 Kč.</w:t>
      </w:r>
    </w:p>
    <w:p w:rsidR="003C29EA" w:rsidRDefault="003C29EA" w:rsidP="003C29EA">
      <w:r w:rsidRPr="003C29EA">
        <w:t>2. Při jednání konaném dne 5. 1. 2024 uzavřeli účastníci ve věci smír tak, jak je uvedeno ve výroku I. tohoto usnesení.</w:t>
      </w:r>
    </w:p>
    <w:p w:rsidR="003C29EA" w:rsidRDefault="003C29EA" w:rsidP="003C29EA">
      <w:r w:rsidRPr="003C29EA">
        <w:t>3. V daném případě se jedná o dvoustranný spor mezi účastníky vyplývající z podílového spoluvlastnictví dle ustanovení § 1140 a násl. zákona č. 89/2012 Sb., občanský zákoník. Povaha věci nebrání uzavření smíru a shora uvedený smír není v rozporu s právními předpisy. Soud proto tento smír schválil podle § 99 zákona č. 99/1963 Sb., občanský soudní řád (dále jen „o.s.ř.“), a to včetně ujednání o nákladech řízení (§ 146 odst. 1 písm. a) o.s.ř.) a rozhodl tak, že žádný z účastníků nemá právo na náhradu nákladů řízení.</w:t>
      </w:r>
    </w:p>
    <w:p w:rsidR="003C29EA" w:rsidRDefault="003C29EA" w:rsidP="003C29EA">
      <w:r w:rsidRPr="003C29EA">
        <w:t>4. Dle ustanovení § 10 odst. 7 zákona č. 549/1991 Sb., o soudních poplatcích, soud vrátí z účtu soudu zaplacený poplatek snížený o 20 %, nejméně však o 1 000 Kč, v případě schválení smíru mezi účastníky řízení před tím, než je ve věci samé rozhodnuto. Soudní poplatek byl žalobcem uhrazen ve výši 7 000 Kč, a proto bylo rozhodnuto o vrácení částky 5 600 Kč dle uvedeného ustanovení.</w:t>
      </w:r>
    </w:p>
    <w:p w:rsidR="00F11093" w:rsidRPr="003C29EA" w:rsidRDefault="003C29EA" w:rsidP="003C29EA">
      <w:r w:rsidRPr="003C29EA">
        <w:t xml:space="preserve">5. Dle ustanovení § 148 odst. 1 o.s.ř. má stát podle výsledků řízení proti účastníkům právo na náhradu nákladů řízení, které platil. V dané věci byli na návrh účastníků vypracovány tři znalecké posudky. Usnesením Okresního soudu v Tachově ze dne 25. 7. 2023, č. j. 4 C 39/2023-102, byla znalci </w:t>
      </w:r>
      <w:r>
        <w:t>[</w:t>
      </w:r>
      <w:r w:rsidRPr="003C29EA">
        <w:rPr>
          <w:shd w:val="clear" w:color="auto" w:fill="CCCCCC"/>
        </w:rPr>
        <w:t>celé jméno znalce</w:t>
      </w:r>
      <w:r w:rsidRPr="003C29EA">
        <w:t xml:space="preserve">], přiznána odměna ve výši 11 188 Kč. Dále byla usnesením Okresního soudu v Tachově ze dne 11. 9. 2023, č. j. 4 C 39/2023-160, znalkyni </w:t>
      </w:r>
      <w:r>
        <w:t>[</w:t>
      </w:r>
      <w:r w:rsidRPr="003C29EA">
        <w:rPr>
          <w:shd w:val="clear" w:color="auto" w:fill="CCCCCC"/>
        </w:rPr>
        <w:t>příjmení</w:t>
      </w:r>
      <w:r w:rsidRPr="003C29EA">
        <w:t xml:space="preserve">] </w:t>
      </w:r>
      <w:r>
        <w:t>[</w:t>
      </w:r>
      <w:r w:rsidRPr="003C29EA">
        <w:rPr>
          <w:shd w:val="clear" w:color="auto" w:fill="CCCCCC"/>
        </w:rPr>
        <w:t>jméno</w:t>
      </w:r>
      <w:r w:rsidRPr="003C29EA">
        <w:t xml:space="preserve">] </w:t>
      </w:r>
      <w:r>
        <w:t>[</w:t>
      </w:r>
      <w:r w:rsidRPr="003C29EA">
        <w:rPr>
          <w:shd w:val="clear" w:color="auto" w:fill="CCCCCC"/>
        </w:rPr>
        <w:t>příjmení</w:t>
      </w:r>
      <w:r w:rsidRPr="003C29EA">
        <w:t>], přiznána odměna ve výši 14 400 Kč, a usnesením Okresního soudu v Tachově ze dne 15. 11. 2023, č. j. 4 C 39/2023-190, přiznána odměna ve výši 4 000 Kč Celkem činily náklady 29 588 Kč. Každý z účastníků uhradil na zálohách na znalecké posudky částku 6 000 Kč, náklady státu tak po odečtení uhrazených záloh činí 17 588 Kč. Soud v usnesení uložil účastníkům úhradu těchto nákladů, každému ve výši ½, tj. 8 794 Kč Lhůta k úhradě byla stanovena dle ustanovení § 160 odst. 1 o.s.ř.</w:t>
      </w:r>
    </w:p>
    <w:p w:rsidR="008A0B5D" w:rsidRDefault="008A0B5D" w:rsidP="008A0B5D">
      <w:pPr>
        <w:pStyle w:val="Nadpisstirozsudku"/>
      </w:pPr>
      <w:r>
        <w:t>Poučení:</w:t>
      </w:r>
    </w:p>
    <w:p w:rsidR="003C29EA" w:rsidRDefault="003C29EA" w:rsidP="003C29EA">
      <w:r w:rsidRPr="003C29EA">
        <w:t>Proti tomuto usnesení není odvolání přípustné (§ 202 odst. 1 písm. f) o.s.ř.).</w:t>
      </w:r>
    </w:p>
    <w:p w:rsidR="006B14EC" w:rsidRPr="003C29EA" w:rsidRDefault="003C29EA" w:rsidP="003C29EA">
      <w:r w:rsidRPr="003C29EA">
        <w:t>Rozsudkem může soud zrušit usnesení o schválení smíru, je-li smír podle hmotného práva neplatný. Návrh lze podat do tří let od právní moci usnesení o schválení smíru (§ 99 odst. 3 o.s.ř.)</w:t>
      </w:r>
    </w:p>
    <w:p w:rsidR="006B14EC" w:rsidRPr="001F0625" w:rsidRDefault="003C29EA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5. ledna 2024</w:t>
      </w:r>
    </w:p>
    <w:p w:rsidR="003C29EA" w:rsidRDefault="003C29EA" w:rsidP="00845CC2">
      <w:pPr>
        <w:keepNext/>
        <w:spacing w:before="480"/>
        <w:jc w:val="left"/>
        <w:rPr>
          <w:rFonts w:eastAsia="Calibri"/>
        </w:rPr>
      </w:pPr>
      <w:r>
        <w:t>Mgr. Kateřina Edlová</w:t>
      </w:r>
      <w:r w:rsidR="006B14EC">
        <w:br/>
      </w:r>
      <w:r>
        <w:t>soudkyně</w:t>
      </w:r>
    </w:p>
    <w:p w:rsidR="006B69A5" w:rsidRDefault="003C29EA" w:rsidP="00845CC2">
      <w:pPr>
        <w:keepNext/>
        <w:spacing w:before="480"/>
        <w:jc w:val="left"/>
      </w:pPr>
      <w:r>
        <w:rPr>
          <w:rFonts w:eastAsia="Calibri"/>
        </w:rPr>
        <w:t>Rozhodnutí nabylo právní moci dne 8. ledna 2024.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C91" w:rsidRDefault="00675C91" w:rsidP="00B83118">
      <w:pPr>
        <w:spacing w:after="0"/>
      </w:pPr>
      <w:r>
        <w:separator/>
      </w:r>
    </w:p>
  </w:endnote>
  <w:endnote w:type="continuationSeparator" w:id="0">
    <w:p w:rsidR="00675C91" w:rsidRDefault="00675C9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EA" w:rsidRDefault="003C29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EA" w:rsidRDefault="003C29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EA" w:rsidRDefault="003C29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C91" w:rsidRDefault="00675C91" w:rsidP="00B83118">
      <w:pPr>
        <w:spacing w:after="0"/>
      </w:pPr>
      <w:r>
        <w:separator/>
      </w:r>
    </w:p>
  </w:footnote>
  <w:footnote w:type="continuationSeparator" w:id="0">
    <w:p w:rsidR="00675C91" w:rsidRDefault="00675C9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EA" w:rsidRDefault="003C29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3C29EA">
      <w:rPr>
        <w:noProof/>
      </w:rPr>
      <w:t>2</w:t>
    </w:r>
    <w:r>
      <w:fldChar w:fldCharType="end"/>
    </w:r>
    <w:r>
      <w:tab/>
    </w:r>
    <w:r w:rsidR="003C29EA">
      <w:t>4 C 39/2023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3C29EA">
      <w:t>4 C 39/2023- 200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29EA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75C91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9679E-20DF-4C3C-93B0-3A19ADEA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2024-01-22T09:13:00Z</dcterms:created>
  <dcterms:modified xsi:type="dcterms:W3CDTF">2024-01-22T09:13:00Z</dcterms:modified>
</cp:coreProperties>
</file>