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68581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58B083C7" wp14:editId="06DABD1B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29EC78E3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6FE659D4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105518FD" w14:textId="77777777" w:rsidR="00BD5169" w:rsidRDefault="00BD5169" w:rsidP="00BD5169">
      <w:pPr>
        <w:pStyle w:val="Odstaveczhlav"/>
      </w:pPr>
      <w:r w:rsidRPr="00BD5169">
        <w:t xml:space="preserve">Okresní soud v Tachově rozhodl samosoudkyní Mgr. Kateřinou </w:t>
      </w:r>
      <w:proofErr w:type="spellStart"/>
      <w:r w:rsidRPr="00BD5169">
        <w:t>Edlovou</w:t>
      </w:r>
      <w:proofErr w:type="spellEnd"/>
      <w:r w:rsidRPr="00BD5169">
        <w:t xml:space="preserve"> ve věci</w:t>
      </w:r>
    </w:p>
    <w:p w14:paraId="42233EEA" w14:textId="4C657147" w:rsidR="00BD5169" w:rsidRDefault="00BD5169" w:rsidP="00BD5169">
      <w:pPr>
        <w:pStyle w:val="Odstaveczhlav"/>
      </w:pPr>
      <w:r w:rsidRPr="00BD5169">
        <w:t>manželů:</w:t>
      </w:r>
      <w:r w:rsidRPr="00BD5169">
        <w:tab/>
      </w:r>
      <w:r>
        <w:t>[</w:t>
      </w:r>
      <w:r w:rsidRPr="00BD5169">
        <w:rPr>
          <w:shd w:val="clear" w:color="auto" w:fill="CCCCCC"/>
        </w:rPr>
        <w:t>jméno</w:t>
      </w:r>
      <w:r w:rsidRPr="00BD5169">
        <w:t xml:space="preserve">] </w:t>
      </w:r>
      <w:r>
        <w:t>[</w:t>
      </w:r>
      <w:r w:rsidRPr="00BD5169">
        <w:rPr>
          <w:shd w:val="clear" w:color="auto" w:fill="CCCCCC"/>
        </w:rPr>
        <w:t>příjmení</w:t>
      </w:r>
      <w:r w:rsidRPr="00BD5169">
        <w:t xml:space="preserve">], </w:t>
      </w:r>
      <w:r>
        <w:t>[</w:t>
      </w:r>
      <w:r w:rsidRPr="00BD5169">
        <w:rPr>
          <w:shd w:val="clear" w:color="auto" w:fill="CCCCCC"/>
        </w:rPr>
        <w:t>datum narození</w:t>
      </w:r>
      <w:r w:rsidRPr="00BD5169">
        <w:t>]</w:t>
      </w:r>
    </w:p>
    <w:p w14:paraId="0889D8C5" w14:textId="1DCCE058" w:rsidR="00BD5169" w:rsidRDefault="00BD5169" w:rsidP="00BD5169">
      <w:pPr>
        <w:pStyle w:val="Odstaveczhlav"/>
      </w:pPr>
      <w:r w:rsidRPr="00BD5169">
        <w:t xml:space="preserve">bytem </w:t>
      </w:r>
      <w:r>
        <w:t>[</w:t>
      </w:r>
      <w:r w:rsidRPr="00BD5169">
        <w:rPr>
          <w:shd w:val="clear" w:color="auto" w:fill="CCCCCC"/>
        </w:rPr>
        <w:t>adresa</w:t>
      </w:r>
      <w:r w:rsidRPr="00BD5169">
        <w:t>]</w:t>
      </w:r>
    </w:p>
    <w:p w14:paraId="3E4EC70D" w14:textId="15388232" w:rsidR="00BD5169" w:rsidRDefault="00BD5169" w:rsidP="00BD5169">
      <w:pPr>
        <w:pStyle w:val="Odstaveczhlav"/>
      </w:pPr>
      <w:r w:rsidRPr="00BD5169">
        <w:t xml:space="preserve">zastoupená advokátem JUDr. </w:t>
      </w:r>
      <w:r>
        <w:t>[</w:t>
      </w:r>
      <w:r w:rsidRPr="00BD5169">
        <w:rPr>
          <w:shd w:val="clear" w:color="auto" w:fill="CCCCCC"/>
        </w:rPr>
        <w:t>jméno</w:t>
      </w:r>
      <w:r w:rsidRPr="00BD5169">
        <w:t xml:space="preserve">] </w:t>
      </w:r>
      <w:r>
        <w:t>[</w:t>
      </w:r>
      <w:r w:rsidRPr="00BD5169">
        <w:rPr>
          <w:shd w:val="clear" w:color="auto" w:fill="CCCCCC"/>
        </w:rPr>
        <w:t>příjmení</w:t>
      </w:r>
      <w:r w:rsidRPr="00BD5169">
        <w:t>]</w:t>
      </w:r>
    </w:p>
    <w:p w14:paraId="13722FA0" w14:textId="50052528" w:rsidR="00BD5169" w:rsidRDefault="00BD5169" w:rsidP="00BD5169">
      <w:pPr>
        <w:pStyle w:val="Odstaveczhlav"/>
      </w:pPr>
      <w:r w:rsidRPr="00BD5169">
        <w:t xml:space="preserve">se sídlem </w:t>
      </w:r>
      <w:r>
        <w:t>[</w:t>
      </w:r>
      <w:r w:rsidRPr="00BD5169">
        <w:rPr>
          <w:shd w:val="clear" w:color="auto" w:fill="CCCCCC"/>
        </w:rPr>
        <w:t>adresa</w:t>
      </w:r>
      <w:r w:rsidRPr="00BD5169">
        <w:t>]</w:t>
      </w:r>
    </w:p>
    <w:p w14:paraId="2438EF9F" w14:textId="77777777" w:rsidR="00BD5169" w:rsidRDefault="00BD5169" w:rsidP="00BD5169">
      <w:pPr>
        <w:pStyle w:val="Odstaveczhlav"/>
        <w:rPr>
          <w:b/>
        </w:rPr>
      </w:pPr>
      <w:r w:rsidRPr="00BD5169">
        <w:rPr>
          <w:b/>
        </w:rPr>
        <w:t>a</w:t>
      </w:r>
    </w:p>
    <w:p w14:paraId="6AF6A9DF" w14:textId="00489D7F" w:rsidR="00BD5169" w:rsidRDefault="00BD5169" w:rsidP="00BD5169">
      <w:pPr>
        <w:pStyle w:val="Odstaveczhlav"/>
      </w:pPr>
      <w:r>
        <w:t>[</w:t>
      </w:r>
      <w:r w:rsidRPr="00BD5169">
        <w:rPr>
          <w:shd w:val="clear" w:color="auto" w:fill="CCCCCC"/>
        </w:rPr>
        <w:t>jméno</w:t>
      </w:r>
      <w:r w:rsidRPr="00BD5169">
        <w:t xml:space="preserve">] </w:t>
      </w:r>
      <w:r>
        <w:t>[</w:t>
      </w:r>
      <w:r w:rsidRPr="00BD5169">
        <w:rPr>
          <w:shd w:val="clear" w:color="auto" w:fill="CCCCCC"/>
        </w:rPr>
        <w:t>příjmení</w:t>
      </w:r>
      <w:r w:rsidRPr="00BD5169">
        <w:t xml:space="preserve">], </w:t>
      </w:r>
      <w:r>
        <w:t>[</w:t>
      </w:r>
      <w:r w:rsidRPr="00BD5169">
        <w:rPr>
          <w:shd w:val="clear" w:color="auto" w:fill="CCCCCC"/>
        </w:rPr>
        <w:t>datum narození</w:t>
      </w:r>
      <w:r w:rsidRPr="00BD5169">
        <w:t>]</w:t>
      </w:r>
    </w:p>
    <w:p w14:paraId="5C8E1037" w14:textId="211AA693" w:rsidR="00BD5169" w:rsidRDefault="00BD5169" w:rsidP="00BD5169">
      <w:pPr>
        <w:pStyle w:val="Odstaveczhlav"/>
      </w:pPr>
      <w:r w:rsidRPr="00BD5169">
        <w:t xml:space="preserve">bytem </w:t>
      </w:r>
      <w:r>
        <w:t>[</w:t>
      </w:r>
      <w:r w:rsidRPr="00BD5169">
        <w:rPr>
          <w:shd w:val="clear" w:color="auto" w:fill="CCCCCC"/>
        </w:rPr>
        <w:t>adresa</w:t>
      </w:r>
      <w:r w:rsidRPr="00BD5169">
        <w:t>]</w:t>
      </w:r>
    </w:p>
    <w:p w14:paraId="49C8F0DA" w14:textId="2A3927FF" w:rsidR="00BD5169" w:rsidRDefault="00BD5169" w:rsidP="00BD5169">
      <w:pPr>
        <w:pStyle w:val="Odstaveczhlav"/>
      </w:pPr>
      <w:r w:rsidRPr="00BD5169">
        <w:t xml:space="preserve">zastoupený advokátem Mgr. </w:t>
      </w:r>
      <w:r>
        <w:t>[</w:t>
      </w:r>
      <w:r w:rsidRPr="00BD5169">
        <w:rPr>
          <w:shd w:val="clear" w:color="auto" w:fill="CCCCCC"/>
        </w:rPr>
        <w:t>jméno</w:t>
      </w:r>
      <w:r w:rsidRPr="00BD5169">
        <w:t xml:space="preserve">] </w:t>
      </w:r>
      <w:r>
        <w:t>[</w:t>
      </w:r>
      <w:r w:rsidRPr="00BD5169">
        <w:rPr>
          <w:shd w:val="clear" w:color="auto" w:fill="CCCCCC"/>
        </w:rPr>
        <w:t>příjmení</w:t>
      </w:r>
      <w:r w:rsidRPr="00BD5169">
        <w:t>]</w:t>
      </w:r>
    </w:p>
    <w:p w14:paraId="7C8EE75D" w14:textId="0185D6B4" w:rsidR="00BD5169" w:rsidRDefault="00BD5169" w:rsidP="00BD5169">
      <w:pPr>
        <w:pStyle w:val="Odstaveczhlav"/>
      </w:pPr>
      <w:r w:rsidRPr="00BD5169">
        <w:t xml:space="preserve">se sídlem </w:t>
      </w:r>
      <w:r>
        <w:t>[</w:t>
      </w:r>
      <w:r w:rsidRPr="00BD5169">
        <w:rPr>
          <w:shd w:val="clear" w:color="auto" w:fill="CCCCCC"/>
        </w:rPr>
        <w:t>adresa</w:t>
      </w:r>
      <w:r w:rsidRPr="00BD5169">
        <w:t>]</w:t>
      </w:r>
    </w:p>
    <w:p w14:paraId="73111126" w14:textId="114ED419" w:rsidR="004A5914" w:rsidRPr="00BD5169" w:rsidRDefault="00BD5169" w:rsidP="00BD5169">
      <w:pPr>
        <w:pStyle w:val="Odstaveczhlav"/>
        <w:rPr>
          <w:b/>
        </w:rPr>
      </w:pPr>
      <w:r w:rsidRPr="00BD5169">
        <w:rPr>
          <w:b/>
        </w:rPr>
        <w:t>o rozvod manželství</w:t>
      </w:r>
    </w:p>
    <w:p w14:paraId="70CBD7D0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336FCC81" w14:textId="7636CB2F" w:rsidR="00BD5169" w:rsidRDefault="00BD5169" w:rsidP="00BD5169">
      <w:pPr>
        <w:pStyle w:val="slovanvrok"/>
        <w:rPr>
          <w:b/>
        </w:rPr>
      </w:pPr>
      <w:r>
        <w:rPr>
          <w:b/>
        </w:rPr>
        <w:t>[</w:t>
      </w:r>
      <w:r w:rsidRPr="00BD5169">
        <w:rPr>
          <w:b/>
          <w:shd w:val="clear" w:color="auto" w:fill="CCCCCC"/>
        </w:rPr>
        <w:t>příjmení</w:t>
      </w:r>
      <w:r w:rsidRPr="00BD5169">
        <w:rPr>
          <w:b/>
        </w:rPr>
        <w:t xml:space="preserve">] </w:t>
      </w:r>
      <w:r>
        <w:rPr>
          <w:b/>
        </w:rPr>
        <w:t>[</w:t>
      </w:r>
      <w:r w:rsidRPr="00BD5169">
        <w:rPr>
          <w:b/>
          <w:shd w:val="clear" w:color="auto" w:fill="CCCCCC"/>
        </w:rPr>
        <w:t>jméno</w:t>
      </w:r>
      <w:r w:rsidRPr="00BD5169">
        <w:rPr>
          <w:b/>
        </w:rPr>
        <w:t xml:space="preserve">] </w:t>
      </w:r>
      <w:r>
        <w:rPr>
          <w:b/>
        </w:rPr>
        <w:t>[</w:t>
      </w:r>
      <w:r w:rsidRPr="00BD5169">
        <w:rPr>
          <w:b/>
          <w:shd w:val="clear" w:color="auto" w:fill="CCCCCC"/>
        </w:rPr>
        <w:t>příjmení</w:t>
      </w:r>
      <w:r w:rsidRPr="00BD5169">
        <w:rPr>
          <w:b/>
        </w:rPr>
        <w:t xml:space="preserve">], rozené </w:t>
      </w:r>
      <w:r>
        <w:rPr>
          <w:b/>
        </w:rPr>
        <w:t>[</w:t>
      </w:r>
      <w:r w:rsidRPr="00BD5169">
        <w:rPr>
          <w:b/>
          <w:shd w:val="clear" w:color="auto" w:fill="CCCCCC"/>
        </w:rPr>
        <w:t>příjmení</w:t>
      </w:r>
      <w:r w:rsidRPr="00BD5169">
        <w:rPr>
          <w:b/>
        </w:rPr>
        <w:t xml:space="preserve">], narozené </w:t>
      </w:r>
      <w:r>
        <w:rPr>
          <w:b/>
        </w:rPr>
        <w:t>[</w:t>
      </w:r>
      <w:r w:rsidRPr="00BD5169">
        <w:rPr>
          <w:b/>
          <w:shd w:val="clear" w:color="auto" w:fill="CCCCCC"/>
        </w:rPr>
        <w:t>datum</w:t>
      </w:r>
      <w:r w:rsidRPr="00BD5169">
        <w:rPr>
          <w:b/>
        </w:rPr>
        <w:t xml:space="preserve">] a </w:t>
      </w:r>
      <w:r>
        <w:rPr>
          <w:b/>
        </w:rPr>
        <w:t>[</w:t>
      </w:r>
      <w:r w:rsidRPr="00BD5169">
        <w:rPr>
          <w:b/>
          <w:shd w:val="clear" w:color="auto" w:fill="CCCCCC"/>
        </w:rPr>
        <w:t>jméno</w:t>
      </w:r>
      <w:r w:rsidRPr="00BD5169">
        <w:rPr>
          <w:b/>
        </w:rPr>
        <w:t xml:space="preserve">] </w:t>
      </w:r>
      <w:r>
        <w:rPr>
          <w:b/>
        </w:rPr>
        <w:t>[</w:t>
      </w:r>
      <w:r w:rsidRPr="00BD5169">
        <w:rPr>
          <w:b/>
          <w:shd w:val="clear" w:color="auto" w:fill="CCCCCC"/>
        </w:rPr>
        <w:t>příjmení</w:t>
      </w:r>
      <w:r w:rsidRPr="00BD5169">
        <w:rPr>
          <w:b/>
        </w:rPr>
        <w:t xml:space="preserve">], narozeného </w:t>
      </w:r>
      <w:r>
        <w:rPr>
          <w:b/>
        </w:rPr>
        <w:t>[</w:t>
      </w:r>
      <w:r w:rsidRPr="00BD5169">
        <w:rPr>
          <w:b/>
          <w:shd w:val="clear" w:color="auto" w:fill="CCCCCC"/>
        </w:rPr>
        <w:t>datum</w:t>
      </w:r>
      <w:r w:rsidRPr="00BD5169">
        <w:rPr>
          <w:b/>
        </w:rPr>
        <w:t xml:space="preserve">], uzavřené dne </w:t>
      </w:r>
      <w:r>
        <w:rPr>
          <w:b/>
        </w:rPr>
        <w:t>[</w:t>
      </w:r>
      <w:r w:rsidRPr="00BD5169">
        <w:rPr>
          <w:b/>
          <w:shd w:val="clear" w:color="auto" w:fill="CCCCCC"/>
        </w:rPr>
        <w:t>datum</w:t>
      </w:r>
      <w:r w:rsidRPr="00BD5169">
        <w:rPr>
          <w:b/>
        </w:rPr>
        <w:t xml:space="preserve">] před </w:t>
      </w:r>
      <w:r>
        <w:rPr>
          <w:b/>
        </w:rPr>
        <w:t>[</w:t>
      </w:r>
      <w:r w:rsidRPr="00BD5169">
        <w:rPr>
          <w:b/>
          <w:shd w:val="clear" w:color="auto" w:fill="CCCCCC"/>
        </w:rPr>
        <w:t>stát. instituce</w:t>
      </w:r>
      <w:r w:rsidRPr="00BD5169">
        <w:rPr>
          <w:b/>
        </w:rPr>
        <w:t>], se rozvádí.</w:t>
      </w:r>
    </w:p>
    <w:p w14:paraId="57232DE3" w14:textId="63054934" w:rsidR="008A0B5D" w:rsidRPr="00BD5169" w:rsidRDefault="00BD5169" w:rsidP="00BD5169">
      <w:pPr>
        <w:pStyle w:val="slovanvrok"/>
        <w:rPr>
          <w:b/>
        </w:rPr>
      </w:pPr>
      <w:r w:rsidRPr="00BD5169">
        <w:rPr>
          <w:b/>
        </w:rPr>
        <w:t>Žádný z účastníků řízení nemá právo na náhradu nákladů řízení.</w:t>
      </w:r>
    </w:p>
    <w:p w14:paraId="7BA449E2" w14:textId="77777777" w:rsidR="008A0B5D" w:rsidRDefault="008A0B5D" w:rsidP="008A0B5D">
      <w:pPr>
        <w:pStyle w:val="Nadpisstirozsudku"/>
      </w:pPr>
      <w:r>
        <w:t>Odůvodnění:</w:t>
      </w:r>
    </w:p>
    <w:p w14:paraId="3E791384" w14:textId="7950582D" w:rsidR="00BD5169" w:rsidRDefault="00BD5169" w:rsidP="00BD5169">
      <w:r w:rsidRPr="00BD5169">
        <w:t xml:space="preserve">Manželka se návrhem podaným dne 15. 6. 2018 domáhala rozvodu manželství, které uzavřela dne </w:t>
      </w:r>
      <w:r>
        <w:t>[</w:t>
      </w:r>
      <w:r w:rsidRPr="00BD5169">
        <w:rPr>
          <w:shd w:val="clear" w:color="auto" w:fill="CCCCCC"/>
        </w:rPr>
        <w:t>datum</w:t>
      </w:r>
      <w:r w:rsidRPr="00BD5169">
        <w:t xml:space="preserve">] ve </w:t>
      </w:r>
      <w:r>
        <w:t>[</w:t>
      </w:r>
      <w:r w:rsidRPr="00BD5169">
        <w:rPr>
          <w:shd w:val="clear" w:color="auto" w:fill="CCCCCC"/>
        </w:rPr>
        <w:t>anonymizováno</w:t>
      </w:r>
      <w:r w:rsidRPr="00BD5169">
        <w:t xml:space="preserve">]. Uvedla, že manželství bylo spokojené cca do roku 2013. Od této doby docházelo k hádkám z důvodu alkoholu u manžela a docházelo i k fyzickému násilí. V </w:t>
      </w:r>
      <w:r w:rsidRPr="00BD5169">
        <w:lastRenderedPageBreak/>
        <w:t>loňském roce si manžel našel novou partnerku, se kterou dosud udržuje vztah. Manželství je proto hluboce a trvale rozvráceno a nelze očekávat jeho obnovení.</w:t>
      </w:r>
    </w:p>
    <w:p w14:paraId="7697B669" w14:textId="77777777" w:rsidR="00BD5169" w:rsidRDefault="00BD5169" w:rsidP="00BD5169">
      <w:r w:rsidRPr="00BD5169">
        <w:t>Manžel uvedl, že první problémy se v manželství objevili v roce 2010, účastníci měli finanční problémy, docházelo mezi nimi k hádkám, které se stupňovali. Takto trval stav až do jara 2017. Poté se manžel dozvěděl o nevěře manželky, manželé se odcizili a v hádce musel někdy manžel manželku od sebe odstrčit. Manžel byl v psychicky špatném stavu, navštívil psychiatra a poté se smířil s rozpadem manželství. V červenci 2017 navázal známost s jinou ženou, se kterou udržuje vztah dodnes a již nemá zájem na zachování manželství.</w:t>
      </w:r>
    </w:p>
    <w:p w14:paraId="3A364E1A" w14:textId="7496BF9D" w:rsidR="00BD5169" w:rsidRDefault="00BD5169" w:rsidP="00BD5169">
      <w:r w:rsidRPr="00BD5169">
        <w:t xml:space="preserve">Z oddacího listu manželů má soud za prokázané, že manželství bylo uzavřeno dne 30. 8. 2008 před Městským úřadem ve Stříbře. U manžela se jedná o první manželství u manželky o manželství druhé, kdy předchozí manželství zaniklo rozvodem. Oba účastníci jsou státní příslušníci ČR. Z manželství se narodil nezletilý syn </w:t>
      </w:r>
      <w:r>
        <w:t>[</w:t>
      </w:r>
      <w:r w:rsidRPr="00BD5169">
        <w:rPr>
          <w:shd w:val="clear" w:color="auto" w:fill="CCCCCC"/>
        </w:rPr>
        <w:t>jméno</w:t>
      </w:r>
      <w:r w:rsidRPr="00BD5169">
        <w:t xml:space="preserve">] </w:t>
      </w:r>
      <w:r>
        <w:t>[</w:t>
      </w:r>
      <w:r w:rsidRPr="00BD5169">
        <w:rPr>
          <w:shd w:val="clear" w:color="auto" w:fill="CCCCCC"/>
        </w:rPr>
        <w:t>příjmení</w:t>
      </w:r>
      <w:r w:rsidRPr="00BD5169">
        <w:t xml:space="preserve">], </w:t>
      </w:r>
      <w:r>
        <w:t>[</w:t>
      </w:r>
      <w:r w:rsidRPr="00BD5169">
        <w:rPr>
          <w:shd w:val="clear" w:color="auto" w:fill="CCCCCC"/>
        </w:rPr>
        <w:t>datum narození</w:t>
      </w:r>
      <w:r w:rsidRPr="00BD5169">
        <w:t>]. Rozsudkem Okresního soudu v Tachově ze dne 17. 7. 2018, č. j. 13 </w:t>
      </w:r>
      <w:proofErr w:type="spellStart"/>
      <w:r w:rsidRPr="00BD5169">
        <w:t>Nc</w:t>
      </w:r>
      <w:proofErr w:type="spellEnd"/>
      <w:r w:rsidRPr="00BD5169">
        <w:t> 3056/2018-36, který nabyl právní moci dne 3. 8. 2018, byla schválena dohoda rodičů, podle které se nezletilý syn svěřuje do péče matky a otec se zavázal platit výživné ve výši 5 250 Kč. Z účastnických výpovědí má soud za prokázané, že oba manželé považovali manželství zpočátku za spokojené s tím, že v současné době je manželství již nefunkční a natolik rozvrácené, že oba navrhují rozvod manželství. Ohledně příčin rozvratu manželství označila manželka za příčinu rozvratu manželství zejména alkoholismus manžela, který po celou dobu manželství tolerovala a chování manžela, který se nezajímal o rodinu a o syna a za trvání manželství navázal jinou známost, která dosud trvá. Manžel považoval za příčinu rozvratu manželství jednak finanční problémy a hádky mezi manžely. Uvedl, že rovněž manželka navázala za trvání manželství jinou známost.</w:t>
      </w:r>
    </w:p>
    <w:p w14:paraId="1D547634" w14:textId="77777777" w:rsidR="00BD5169" w:rsidRDefault="00BD5169" w:rsidP="00BD5169">
      <w:r w:rsidRPr="00BD5169">
        <w:t>Podle § 755 odst. 1 zákona č. 89/2012 Sb., občanského zákoníku (dále jen „</w:t>
      </w:r>
      <w:proofErr w:type="spellStart"/>
      <w:r w:rsidRPr="00BD5169">
        <w:t>o.z</w:t>
      </w:r>
      <w:proofErr w:type="spellEnd"/>
      <w:r w:rsidRPr="00BD5169">
        <w:t>.“), může být manželství rozvedeno, je-li soužití manželů hluboce, trvale a nenapravitelně rozvráceno a nelze očekávat jeho obnovení.</w:t>
      </w:r>
    </w:p>
    <w:p w14:paraId="588871B5" w14:textId="77777777" w:rsidR="00BD5169" w:rsidRDefault="00BD5169" w:rsidP="00BD5169">
      <w:r w:rsidRPr="00BD5169">
        <w:t xml:space="preserve">Podle § 755 odst. 3 </w:t>
      </w:r>
      <w:proofErr w:type="spellStart"/>
      <w:r w:rsidRPr="00BD5169">
        <w:t>o.z</w:t>
      </w:r>
      <w:proofErr w:type="spellEnd"/>
      <w:r w:rsidRPr="00BD5169">
        <w:t>., mají-li manželé nezletilé dítě, které není plně svéprávné, soud manželství nerozvede, dokud nerozhodne o poměrech dítěte v době po rozvodu manželů.</w:t>
      </w:r>
    </w:p>
    <w:p w14:paraId="3AD7E0D8" w14:textId="77777777" w:rsidR="00BD5169" w:rsidRDefault="00BD5169" w:rsidP="00BD5169">
      <w:r w:rsidRPr="00BD5169">
        <w:t xml:space="preserve">Soud po zhodnocení provedených důkazů má za prokázané, že jsou splněny podmínky § 755 odst. 1 a 3 </w:t>
      </w:r>
      <w:proofErr w:type="spellStart"/>
      <w:r w:rsidRPr="00BD5169">
        <w:t>o.z</w:t>
      </w:r>
      <w:proofErr w:type="spellEnd"/>
      <w:r w:rsidRPr="00BD5169">
        <w:t xml:space="preserve">., neboť o poměrech </w:t>
      </w:r>
      <w:proofErr w:type="spellStart"/>
      <w:r w:rsidRPr="00BD5169">
        <w:t>nezl</w:t>
      </w:r>
      <w:proofErr w:type="spellEnd"/>
      <w:r w:rsidRPr="00BD5169">
        <w:t>. syna pro dobu po rozvodu manželství již bylo pravomocně rozhodnuto a zároveň je manželství tak hluboce, trvale a nenapravitelně rozvráceno, že nelze očekávat obnovení manželského soužití. Tato skutečnost, je jednoznačně patrná z toho, že oba manželé se chtějí rozvést a nemají zájem na obnově společného soužití. Za příčinu rozvratu manželství soud považuje neshody manželů vyplývající z odlišných představ o fungování manželství, kdy pravidla nastavená v manželství od jeho počátku, přestala zejména manželce vyhovovat a snaha po změně vedla pouze k hádkám, vzájemnému odcizení manželů a k tomu, že manžel navázal za trvání manželství jiný vztah, který trvá dodnes.</w:t>
      </w:r>
    </w:p>
    <w:p w14:paraId="68B35CEF" w14:textId="06D980B6" w:rsidR="00F11093" w:rsidRPr="00BD5169" w:rsidRDefault="00BD5169" w:rsidP="00BD5169">
      <w:r w:rsidRPr="00BD5169">
        <w:t>Výrok o náhradě nákladů řízení je odůvodněn ustanovením § 23 zákona č. 292/2013 Sb., o zvláštních řízeních soudních (</w:t>
      </w:r>
      <w:proofErr w:type="gramStart"/>
      <w:r w:rsidRPr="00BD5169">
        <w:t>dále„ ZŘS</w:t>
      </w:r>
      <w:proofErr w:type="gramEnd"/>
      <w:r w:rsidRPr="00BD5169">
        <w:t>“), podle něhož účastníci řízení o rozvod manželství nemají vůči sobě zásadně právo na náhradu nákladů řízení.</w:t>
      </w:r>
    </w:p>
    <w:p w14:paraId="44012427" w14:textId="77777777" w:rsidR="008A0B5D" w:rsidRDefault="008A0B5D" w:rsidP="008A0B5D">
      <w:pPr>
        <w:pStyle w:val="Nadpisstirozsudku"/>
      </w:pPr>
      <w:r>
        <w:t>Poučení:</w:t>
      </w:r>
    </w:p>
    <w:p w14:paraId="35B86EF6" w14:textId="77777777" w:rsidR="00BD5169" w:rsidRDefault="00BD5169" w:rsidP="00BD5169">
      <w:r w:rsidRPr="00BD5169">
        <w:t>Proti tomuto lze podat odvolání ve lhůtě patnácti dnů od jeho doručení ke Krajskému soudu v Plzni prostřednictvím Okresního soudu v Tachově.</w:t>
      </w:r>
    </w:p>
    <w:p w14:paraId="02004643" w14:textId="77777777" w:rsidR="00BD5169" w:rsidRDefault="00BD5169" w:rsidP="00BD5169">
      <w:r w:rsidRPr="00BD5169">
        <w:t>Účastníci jsou povinni do 15 dnů od právní moci tohoto rozsudku požádat příslušný obecní (městský) úřad pověřený vedením matrik o vydání nového občanského průkazu, pokud mají v občanském průkazu uveden osobní stav (ženatý/vdaná).</w:t>
      </w:r>
    </w:p>
    <w:p w14:paraId="7AD4B226" w14:textId="5F943388" w:rsidR="006B14EC" w:rsidRPr="00BD5169" w:rsidRDefault="00BD5169" w:rsidP="00BD5169">
      <w:r w:rsidRPr="00BD5169">
        <w:t>Manžel, který přijal příjmení druhého manžela, je oprávněn do 6 měsíců od právní moci rozsudku oznámit příslušnému obecnému (městskému) úřadu pověřenému vedením matrik, že přijímá své dřívější příjmení.</w:t>
      </w:r>
    </w:p>
    <w:p w14:paraId="4CC34EAB" w14:textId="0C727617" w:rsidR="006B14EC" w:rsidRPr="001F0625" w:rsidRDefault="00BD5169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7. listopadu 2018</w:t>
      </w:r>
    </w:p>
    <w:p w14:paraId="7BADE17D" w14:textId="186D1B1C" w:rsidR="006B69A5" w:rsidRDefault="00BD5169" w:rsidP="00845CC2">
      <w:pPr>
        <w:keepNext/>
        <w:spacing w:before="480"/>
        <w:jc w:val="left"/>
      </w:pPr>
      <w:r>
        <w:t>Mgr. Kateřina Edlová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6F07" w14:textId="77777777" w:rsidR="00422E36" w:rsidRDefault="00422E36" w:rsidP="00B83118">
      <w:pPr>
        <w:spacing w:after="0"/>
      </w:pPr>
      <w:r>
        <w:separator/>
      </w:r>
    </w:p>
  </w:endnote>
  <w:endnote w:type="continuationSeparator" w:id="0">
    <w:p w14:paraId="00DD353E" w14:textId="77777777" w:rsidR="00422E36" w:rsidRDefault="00422E36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7E341" w14:textId="77777777" w:rsidR="00BD5169" w:rsidRDefault="00BD51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9CC0" w14:textId="77777777" w:rsidR="00BD5169" w:rsidRDefault="00BD51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C858" w14:textId="77777777" w:rsidR="00BD5169" w:rsidRDefault="00BD51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F6BA" w14:textId="77777777" w:rsidR="00422E36" w:rsidRDefault="00422E36" w:rsidP="00B83118">
      <w:pPr>
        <w:spacing w:after="0"/>
      </w:pPr>
      <w:r>
        <w:separator/>
      </w:r>
    </w:p>
  </w:footnote>
  <w:footnote w:type="continuationSeparator" w:id="0">
    <w:p w14:paraId="6AC2EAB7" w14:textId="77777777" w:rsidR="00422E36" w:rsidRDefault="00422E36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B616" w14:textId="77777777" w:rsidR="00BD5169" w:rsidRDefault="00BD51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584C" w14:textId="17A46228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BD5169">
      <w:t>4 C 174/2018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AEF3" w14:textId="456C0656" w:rsidR="00B83118" w:rsidRDefault="00B83118" w:rsidP="00B83118">
    <w:pPr>
      <w:pStyle w:val="Zhlav"/>
      <w:jc w:val="right"/>
    </w:pPr>
    <w:r>
      <w:t xml:space="preserve">Číslo jednací: </w:t>
    </w:r>
    <w:r w:rsidR="00BD5169">
      <w:t>4 C 174/</w:t>
    </w:r>
    <w:proofErr w:type="gramStart"/>
    <w:r w:rsidR="00BD5169">
      <w:t>2018 - 29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690720">
    <w:abstractNumId w:val="2"/>
  </w:num>
  <w:num w:numId="2" w16cid:durableId="1260718008">
    <w:abstractNumId w:val="1"/>
  </w:num>
  <w:num w:numId="3" w16cid:durableId="1773428691">
    <w:abstractNumId w:val="0"/>
  </w:num>
  <w:num w:numId="4" w16cid:durableId="946274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2E36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D516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3789"/>
  <w15:docId w15:val="{86DE1F05-51E5-4DBA-B68C-4A18617A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2024-07-18T11:34:00Z</dcterms:created>
  <dcterms:modified xsi:type="dcterms:W3CDTF">2024-07-18T11:35:00Z</dcterms:modified>
</cp:coreProperties>
</file>