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21773" w14:textId="77777777" w:rsidR="003926CC" w:rsidRPr="004B174D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r w:rsidRPr="00393D12">
        <w:rPr>
          <w:b/>
          <w:sz w:val="40"/>
          <w:szCs w:val="40"/>
        </w:rPr>
        <w:t>USNESENÍ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14:paraId="6ADA8C6A" w14:textId="1E3BDFB3" w:rsidR="004A5914" w:rsidRPr="00531206" w:rsidRDefault="00531206" w:rsidP="00531206">
      <w:r w:rsidRPr="00531206">
        <w:t xml:space="preserve">Okresní soud v Tachově rozhodl v hlavním líčení konaném dne 22.5.2012 v trestní věci </w:t>
      </w:r>
      <w:r>
        <w:t>[</w:t>
      </w:r>
      <w:r w:rsidRPr="00531206">
        <w:rPr>
          <w:shd w:val="clear" w:color="auto" w:fill="CCCCCC"/>
        </w:rPr>
        <w:t>údaje o účastníkovi</w:t>
      </w:r>
      <w:r w:rsidRPr="00531206">
        <w:t>]</w:t>
      </w:r>
    </w:p>
    <w:p w14:paraId="5D499F17" w14:textId="77777777" w:rsidR="00F11093" w:rsidRDefault="00F11093" w:rsidP="008A0B5D">
      <w:pPr>
        <w:pStyle w:val="Nadpisstirozsudku"/>
      </w:pPr>
      <w:r w:rsidRPr="00F11093">
        <w:t>takto</w:t>
      </w:r>
      <w:r>
        <w:t>:</w:t>
      </w:r>
    </w:p>
    <w:p w14:paraId="5D949D37" w14:textId="2A132CDC" w:rsidR="00531206" w:rsidRDefault="00531206" w:rsidP="00531206">
      <w:r w:rsidRPr="00531206">
        <w:t xml:space="preserve">podle § 222 odst. 1 trestního řádu se trestní stíhání </w:t>
      </w:r>
      <w:proofErr w:type="spellStart"/>
      <w:r w:rsidRPr="00531206">
        <w:t>obv</w:t>
      </w:r>
      <w:proofErr w:type="spellEnd"/>
      <w:r w:rsidRPr="00531206">
        <w:t xml:space="preserve">. </w:t>
      </w:r>
      <w:r>
        <w:t>[</w:t>
      </w:r>
      <w:r w:rsidRPr="00531206">
        <w:rPr>
          <w:shd w:val="clear" w:color="auto" w:fill="CCCCCC"/>
        </w:rPr>
        <w:t>celé jméno obviněného</w:t>
      </w:r>
      <w:r w:rsidRPr="00531206">
        <w:t xml:space="preserve">], </w:t>
      </w:r>
      <w:r>
        <w:t>[</w:t>
      </w:r>
      <w:r w:rsidRPr="00531206">
        <w:rPr>
          <w:shd w:val="clear" w:color="auto" w:fill="CCCCCC"/>
        </w:rPr>
        <w:t>datum narození</w:t>
      </w:r>
      <w:r w:rsidRPr="00531206">
        <w:t xml:space="preserve">], trvale bytem </w:t>
      </w:r>
      <w:r>
        <w:t>[</w:t>
      </w:r>
      <w:r w:rsidRPr="00531206">
        <w:rPr>
          <w:shd w:val="clear" w:color="auto" w:fill="CCCCCC"/>
        </w:rPr>
        <w:t>adresa obviněného a obviněného</w:t>
      </w:r>
      <w:r w:rsidRPr="00531206">
        <w:t xml:space="preserve">], okres </w:t>
      </w:r>
      <w:r>
        <w:t>[</w:t>
      </w:r>
      <w:r w:rsidRPr="00531206">
        <w:rPr>
          <w:shd w:val="clear" w:color="auto" w:fill="CCCCCC"/>
        </w:rPr>
        <w:t>okres</w:t>
      </w:r>
      <w:r w:rsidRPr="00531206">
        <w:t xml:space="preserve">], a </w:t>
      </w:r>
      <w:proofErr w:type="spellStart"/>
      <w:r w:rsidRPr="00531206">
        <w:t>obv</w:t>
      </w:r>
      <w:proofErr w:type="spellEnd"/>
      <w:r w:rsidRPr="00531206">
        <w:t xml:space="preserve">. </w:t>
      </w:r>
      <w:r>
        <w:t>[</w:t>
      </w:r>
      <w:r w:rsidRPr="00531206">
        <w:rPr>
          <w:shd w:val="clear" w:color="auto" w:fill="CCCCCC"/>
        </w:rPr>
        <w:t>celé jméno obviněného</w:t>
      </w:r>
      <w:r w:rsidRPr="00531206">
        <w:t xml:space="preserve">] </w:t>
      </w:r>
      <w:r>
        <w:t>[</w:t>
      </w:r>
      <w:r w:rsidRPr="00531206">
        <w:rPr>
          <w:shd w:val="clear" w:color="auto" w:fill="CCCCCC"/>
        </w:rPr>
        <w:t>datum narození</w:t>
      </w:r>
      <w:r w:rsidRPr="00531206">
        <w:t>] pro skutek spočívající v tom, že dne 27.08.2011 v době mezi 01:00 hod. až 02:00 hod. v </w:t>
      </w:r>
      <w:r>
        <w:t>[</w:t>
      </w:r>
      <w:r w:rsidRPr="00531206">
        <w:rPr>
          <w:shd w:val="clear" w:color="auto" w:fill="CCCCCC"/>
        </w:rPr>
        <w:t>obec</w:t>
      </w:r>
      <w:r w:rsidRPr="00531206">
        <w:t xml:space="preserve">], okres </w:t>
      </w:r>
      <w:r>
        <w:t>[</w:t>
      </w:r>
      <w:r w:rsidRPr="00531206">
        <w:rPr>
          <w:shd w:val="clear" w:color="auto" w:fill="CCCCCC"/>
        </w:rPr>
        <w:t>okres</w:t>
      </w:r>
      <w:r w:rsidRPr="00531206">
        <w:t>], v </w:t>
      </w:r>
      <w:r>
        <w:t>[</w:t>
      </w:r>
      <w:r w:rsidRPr="00531206">
        <w:rPr>
          <w:shd w:val="clear" w:color="auto" w:fill="CCCCCC"/>
        </w:rPr>
        <w:t>anonymizováno</w:t>
      </w:r>
      <w:r w:rsidRPr="00531206">
        <w:t xml:space="preserve">] ulici na schodech u OS </w:t>
      </w:r>
      <w:r>
        <w:t>[</w:t>
      </w:r>
      <w:r w:rsidRPr="00531206">
        <w:rPr>
          <w:shd w:val="clear" w:color="auto" w:fill="CCCCCC"/>
        </w:rPr>
        <w:t>anonymizováno</w:t>
      </w:r>
      <w:r w:rsidRPr="00531206">
        <w:t xml:space="preserve">] přistoupili ke zde spícímu </w:t>
      </w:r>
      <w:r>
        <w:t>[</w:t>
      </w:r>
      <w:r w:rsidRPr="00531206">
        <w:rPr>
          <w:shd w:val="clear" w:color="auto" w:fill="CCCCCC"/>
        </w:rPr>
        <w:t>celé jméno poškozeného</w:t>
      </w:r>
      <w:r w:rsidRPr="00531206">
        <w:t xml:space="preserve">], </w:t>
      </w:r>
      <w:r>
        <w:t>[</w:t>
      </w:r>
      <w:r w:rsidRPr="00531206">
        <w:rPr>
          <w:shd w:val="clear" w:color="auto" w:fill="CCCCCC"/>
        </w:rPr>
        <w:t>datum narození</w:t>
      </w:r>
      <w:r w:rsidRPr="00531206">
        <w:t xml:space="preserve">], trvale bytem </w:t>
      </w:r>
      <w:r>
        <w:t>[</w:t>
      </w:r>
      <w:r w:rsidRPr="00531206">
        <w:rPr>
          <w:shd w:val="clear" w:color="auto" w:fill="CCCCCC"/>
        </w:rPr>
        <w:t>adresa poškozeného</w:t>
      </w:r>
      <w:r w:rsidRPr="00531206">
        <w:t xml:space="preserve">], kterému společně odcizili vedle něj odložený batoh zn. </w:t>
      </w:r>
      <w:proofErr w:type="spellStart"/>
      <w:r w:rsidRPr="00531206">
        <w:t>Horsefeathers</w:t>
      </w:r>
      <w:proofErr w:type="spellEnd"/>
      <w:r w:rsidRPr="00531206">
        <w:t xml:space="preserve">, černé barvy, v hodnotě dle odborného vyjádření 1.000 Kč, a celý obsah, který měl poškozený v batohu uložen, a to peněženku zn. </w:t>
      </w:r>
      <w:proofErr w:type="spellStart"/>
      <w:r w:rsidRPr="00531206">
        <w:t>Horse</w:t>
      </w:r>
      <w:proofErr w:type="spellEnd"/>
      <w:r w:rsidRPr="00531206">
        <w:t xml:space="preserve"> </w:t>
      </w:r>
      <w:proofErr w:type="spellStart"/>
      <w:r w:rsidRPr="00531206">
        <w:t>Feathers</w:t>
      </w:r>
      <w:proofErr w:type="spellEnd"/>
      <w:r w:rsidRPr="00531206">
        <w:t xml:space="preserve">, v hodnotě dle odborného vyjádření 50 Kč, včetně peněžní hotovosti v částce 10.500 Kč, notebook zn. ACER </w:t>
      </w:r>
      <w:proofErr w:type="spellStart"/>
      <w:r w:rsidRPr="00531206">
        <w:t>Aspire</w:t>
      </w:r>
      <w:proofErr w:type="spellEnd"/>
      <w:r w:rsidRPr="00531206">
        <w:t xml:space="preserve"> </w:t>
      </w:r>
      <w:proofErr w:type="spellStart"/>
      <w:r w:rsidRPr="00531206">
        <w:t>One</w:t>
      </w:r>
      <w:proofErr w:type="spellEnd"/>
      <w:r w:rsidRPr="00531206">
        <w:t xml:space="preserve">, včetně nabíjecího adaptéru a </w:t>
      </w:r>
      <w:proofErr w:type="spellStart"/>
      <w:r w:rsidRPr="00531206">
        <w:t>flash</w:t>
      </w:r>
      <w:proofErr w:type="spellEnd"/>
      <w:r w:rsidRPr="00531206">
        <w:t xml:space="preserve"> disku, v celkové v hodnotě dle odborného vyjádření 1.150 Kč, a občanský průkaz, průkaz pojištěnce VZP a profesní průkaz řidiče, vystavené na jméno </w:t>
      </w:r>
      <w:r>
        <w:t>[</w:t>
      </w:r>
      <w:r w:rsidRPr="00531206">
        <w:rPr>
          <w:shd w:val="clear" w:color="auto" w:fill="CCCCCC"/>
        </w:rPr>
        <w:t>celé jméno poškozeného</w:t>
      </w:r>
      <w:r w:rsidRPr="00531206">
        <w:t xml:space="preserve">], když zn. notebook ACER </w:t>
      </w:r>
      <w:proofErr w:type="spellStart"/>
      <w:r w:rsidRPr="00531206">
        <w:t>Aspire</w:t>
      </w:r>
      <w:proofErr w:type="spellEnd"/>
      <w:r w:rsidRPr="00531206">
        <w:t xml:space="preserve"> </w:t>
      </w:r>
      <w:proofErr w:type="spellStart"/>
      <w:r w:rsidRPr="00531206">
        <w:t>One</w:t>
      </w:r>
      <w:proofErr w:type="spellEnd"/>
      <w:r w:rsidRPr="00531206">
        <w:t xml:space="preserve"> si ponechal podezřelý </w:t>
      </w:r>
      <w:r>
        <w:t>[</w:t>
      </w:r>
      <w:r w:rsidRPr="00531206">
        <w:rPr>
          <w:shd w:val="clear" w:color="auto" w:fill="CCCCCC"/>
        </w:rPr>
        <w:t>celé jméno obviněného</w:t>
      </w:r>
      <w:r w:rsidRPr="00531206">
        <w:t xml:space="preserve">] a batoh s peněženkou a finanční hotovostí si ponechal podezřelý </w:t>
      </w:r>
      <w:r>
        <w:t>[</w:t>
      </w:r>
      <w:r w:rsidRPr="00531206">
        <w:rPr>
          <w:shd w:val="clear" w:color="auto" w:fill="CCCCCC"/>
        </w:rPr>
        <w:t>celé jméno obviněného</w:t>
      </w:r>
      <w:r w:rsidRPr="00531206">
        <w:t xml:space="preserve">], čímž způsobili poškozenému </w:t>
      </w:r>
      <w:r>
        <w:t>[</w:t>
      </w:r>
      <w:r w:rsidRPr="00531206">
        <w:rPr>
          <w:shd w:val="clear" w:color="auto" w:fill="CCCCCC"/>
        </w:rPr>
        <w:t>celé jméno poškozeného</w:t>
      </w:r>
      <w:r w:rsidRPr="00531206">
        <w:t xml:space="preserve">] odcizením věcí škodu v celkové výši 12.700 Kč, přičemž batoh byl následně nalezen a poškozenému </w:t>
      </w:r>
      <w:r>
        <w:t>[</w:t>
      </w:r>
      <w:r w:rsidRPr="00531206">
        <w:rPr>
          <w:shd w:val="clear" w:color="auto" w:fill="CCCCCC"/>
        </w:rPr>
        <w:t>celé jméno poškozeného</w:t>
      </w:r>
      <w:r w:rsidRPr="00531206">
        <w:t>] vrácen,</w:t>
      </w:r>
    </w:p>
    <w:p w14:paraId="7A4E47E8" w14:textId="77777777" w:rsidR="00531206" w:rsidRDefault="00531206" w:rsidP="00531206">
      <w:r w:rsidRPr="00531206">
        <w:t>čímž měli spáchat přečin krádeže podle § 205 odst. 1 písm. a), d) trestního zákoníku ve spolupachatelství podle § 23 trestního zákoníku.</w:t>
      </w:r>
    </w:p>
    <w:p w14:paraId="75CD9C87" w14:textId="21BA2655" w:rsidR="00531206" w:rsidRDefault="00531206" w:rsidP="00531206">
      <w:pPr>
        <w:jc w:val="center"/>
        <w:rPr>
          <w:b/>
        </w:rPr>
      </w:pPr>
      <w:r w:rsidRPr="00531206">
        <w:rPr>
          <w:b/>
        </w:rPr>
        <w:t>postupuje</w:t>
      </w:r>
    </w:p>
    <w:p w14:paraId="6C691470" w14:textId="6BFAD137" w:rsidR="008A0B5D" w:rsidRPr="00531206" w:rsidRDefault="00531206" w:rsidP="00531206">
      <w:r w:rsidRPr="00531206">
        <w:t>Městskému úřadu v Tachově, neboť by se mohlo jednat o přestupek dle zákona č. 200/1990 Sb. v platném znění.</w:t>
      </w:r>
    </w:p>
    <w:p w14:paraId="1641F9C9" w14:textId="77777777" w:rsidR="008A0B5D" w:rsidRDefault="008A0B5D" w:rsidP="008A0B5D">
      <w:pPr>
        <w:pStyle w:val="Nadpisstirozsudku"/>
      </w:pPr>
      <w:r>
        <w:t>Odůvodnění:</w:t>
      </w:r>
    </w:p>
    <w:p w14:paraId="7F70D5BD" w14:textId="77777777" w:rsidR="00531206" w:rsidRDefault="00531206" w:rsidP="00531206">
      <w:r w:rsidRPr="00531206">
        <w:t xml:space="preserve">Odůvodnění podle § 136 odst. 3 </w:t>
      </w:r>
      <w:proofErr w:type="spellStart"/>
      <w:r w:rsidRPr="00531206">
        <w:t>tr</w:t>
      </w:r>
      <w:proofErr w:type="spellEnd"/>
      <w:r w:rsidRPr="00531206">
        <w:t>. řádu odpadá, když po jeho vyhlášení se obvinění i státní zástupce vzdali práva stížnosti.</w:t>
      </w:r>
    </w:p>
    <w:p w14:paraId="7C18597A" w14:textId="26C49F69" w:rsidR="00F11093" w:rsidRPr="00531206" w:rsidRDefault="00531206" w:rsidP="00531206">
      <w:r w:rsidRPr="00531206">
        <w:t xml:space="preserve">pokračování -2- </w:t>
      </w:r>
      <w:proofErr w:type="gramStart"/>
      <w:r w:rsidRPr="00531206">
        <w:t>8T</w:t>
      </w:r>
      <w:proofErr w:type="gramEnd"/>
      <w:r w:rsidRPr="00531206">
        <w:t> 32/2012</w:t>
      </w:r>
    </w:p>
    <w:p w14:paraId="4D2D85C5" w14:textId="77777777" w:rsidR="008A0B5D" w:rsidRDefault="008A0B5D" w:rsidP="008A0B5D">
      <w:pPr>
        <w:pStyle w:val="Nadpisstirozsudku"/>
      </w:pPr>
      <w:r>
        <w:t>Poučení:</w:t>
      </w:r>
    </w:p>
    <w:p w14:paraId="027C05CC" w14:textId="77777777" w:rsidR="00531206" w:rsidRDefault="00531206" w:rsidP="00531206">
      <w:r w:rsidRPr="00531206">
        <w:t>Proti tomuto usnesení je možné podat stížnost do tří dnů ode dne jeho oznámení prostřednictvím Okresního soudu v Tachově ke Krajskému soudu v Plzni. Stížnost má odkladný účinek.</w:t>
      </w:r>
    </w:p>
    <w:p w14:paraId="6671B87F" w14:textId="6AF719E1" w:rsidR="006B14EC" w:rsidRPr="00531206" w:rsidRDefault="00531206" w:rsidP="00531206">
      <w:pPr>
        <w:jc w:val="center"/>
        <w:rPr>
          <w:b/>
        </w:rPr>
      </w:pPr>
      <w:r w:rsidRPr="00531206">
        <w:rPr>
          <w:b/>
        </w:rPr>
        <w:t>Okresní soud v Tachově</w:t>
      </w:r>
    </w:p>
    <w:p w14:paraId="33BFC97D" w14:textId="65C29D26" w:rsidR="006B14EC" w:rsidRPr="001F0625" w:rsidRDefault="00531206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31. srpna 2012</w:t>
      </w:r>
    </w:p>
    <w:p w14:paraId="5FA182B8" w14:textId="320A0435" w:rsidR="006B69A5" w:rsidRDefault="00531206" w:rsidP="00845CC2">
      <w:pPr>
        <w:keepNext/>
        <w:spacing w:before="480"/>
        <w:jc w:val="left"/>
      </w:pPr>
      <w:r>
        <w:t>Mgr. Ing. Miroslav Vajgant</w:t>
      </w:r>
      <w:r w:rsidR="006B14EC">
        <w:br/>
      </w:r>
      <w:r>
        <w:t>soudce</w:t>
      </w:r>
    </w:p>
    <w:sectPr w:rsidR="006B69A5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4510F" w14:textId="77777777" w:rsidR="000432E6" w:rsidRDefault="000432E6" w:rsidP="00B83118">
      <w:pPr>
        <w:spacing w:after="0"/>
      </w:pPr>
      <w:r>
        <w:separator/>
      </w:r>
    </w:p>
  </w:endnote>
  <w:endnote w:type="continuationSeparator" w:id="0">
    <w:p w14:paraId="1202585E" w14:textId="77777777" w:rsidR="000432E6" w:rsidRDefault="000432E6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DC53F" w14:textId="77777777" w:rsidR="00531206" w:rsidRDefault="005312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28ADA" w14:textId="77777777" w:rsidR="00531206" w:rsidRDefault="005312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259C" w14:textId="77777777" w:rsidR="00531206" w:rsidRDefault="005312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A2B3A" w14:textId="77777777" w:rsidR="000432E6" w:rsidRDefault="000432E6" w:rsidP="00B83118">
      <w:pPr>
        <w:spacing w:after="0"/>
      </w:pPr>
      <w:r>
        <w:separator/>
      </w:r>
    </w:p>
  </w:footnote>
  <w:footnote w:type="continuationSeparator" w:id="0">
    <w:p w14:paraId="51B9F856" w14:textId="77777777" w:rsidR="000432E6" w:rsidRDefault="000432E6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8F9E" w14:textId="77777777" w:rsidR="00531206" w:rsidRDefault="005312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99863" w14:textId="041F360C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531206">
      <w:t>8 T 32/2012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0121" w14:textId="2953D947" w:rsidR="00B83118" w:rsidRDefault="00B83118" w:rsidP="00B83118">
    <w:pPr>
      <w:pStyle w:val="Zhlav"/>
      <w:jc w:val="right"/>
    </w:pPr>
    <w:r>
      <w:t xml:space="preserve">Číslo jednací: </w:t>
    </w:r>
    <w:r w:rsidR="00531206">
      <w:t>8 T 32/2012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862790">
    <w:abstractNumId w:val="2"/>
  </w:num>
  <w:num w:numId="2" w16cid:durableId="329993835">
    <w:abstractNumId w:val="1"/>
  </w:num>
  <w:num w:numId="3" w16cid:durableId="1946576499">
    <w:abstractNumId w:val="0"/>
  </w:num>
  <w:num w:numId="4" w16cid:durableId="2132624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zor" w:val="AA02"/>
  </w:docVars>
  <w:rsids>
    <w:rsidRoot w:val="004203B8"/>
    <w:rsid w:val="00000E54"/>
    <w:rsid w:val="00012E95"/>
    <w:rsid w:val="000432E6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1206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5405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07CE6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27A1"/>
  <w15:docId w15:val="{B85665BD-D85F-41FB-B3D0-78FC6AE0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Terčová Markéta</dc:creator>
  <cp:lastModifiedBy>Gracliková Martina</cp:lastModifiedBy>
  <cp:revision>2</cp:revision>
  <cp:lastPrinted>2025-01-02T16:14:00Z</cp:lastPrinted>
  <dcterms:created xsi:type="dcterms:W3CDTF">2025-01-02T16:14:00Z</dcterms:created>
  <dcterms:modified xsi:type="dcterms:W3CDTF">2025-01-02T16:14:00Z</dcterms:modified>
</cp:coreProperties>
</file>