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  <w:lang w:bidi="cs-CZ"/>
        </w:rPr>
        <w:id w:val="1260875943"/>
        <w:docPartObj>
          <w:docPartGallery w:val="Table of Contents"/>
          <w:docPartUnique/>
        </w:docPartObj>
      </w:sdtPr>
      <w:sdtEndPr/>
      <w:sdtContent>
        <w:p w14:paraId="0C9C84A3" w14:textId="77777777" w:rsidR="00416254" w:rsidRPr="00C23379" w:rsidRDefault="00416254">
          <w:pPr>
            <w:pStyle w:val="Nadpisobsahu"/>
          </w:pPr>
          <w:r w:rsidRPr="00C23379">
            <w:t>Obsah</w:t>
          </w:r>
        </w:p>
        <w:p w14:paraId="6B9909D3" w14:textId="1C4EC5E1" w:rsidR="000916F4" w:rsidRPr="00C23379" w:rsidRDefault="00416254">
          <w:pPr>
            <w:pStyle w:val="Obsah2"/>
            <w:tabs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C23379">
            <w:fldChar w:fldCharType="begin"/>
          </w:r>
          <w:r w:rsidRPr="00C23379">
            <w:instrText xml:space="preserve"> TOC \o "1-3" \h \z \u </w:instrText>
          </w:r>
          <w:r w:rsidRPr="00C23379">
            <w:fldChar w:fldCharType="separate"/>
          </w:r>
          <w:hyperlink w:anchor="_Toc144204106" w:history="1">
            <w:r w:rsidR="000916F4" w:rsidRPr="00C23379">
              <w:rPr>
                <w:rStyle w:val="Hypertextovodkaz"/>
                <w:noProof/>
              </w:rPr>
              <w:t xml:space="preserve">Vnitřní předpis předsedkyně Okresního soudu v Trutnově 35 Spr 1021/2023 o vnitřním oznamovacím systému pro oznamování protiprávního jednání a o ochraně těchto oznamovatelů </w:t>
            </w:r>
            <w:r w:rsidR="000916F4" w:rsidRPr="00C23379">
              <w:rPr>
                <w:rStyle w:val="Hypertextovodkaz"/>
                <w:noProof/>
                <w:lang w:eastAsia="en-US" w:bidi="en-US"/>
              </w:rPr>
              <w:t>(whistleblowing)</w:t>
            </w:r>
            <w:r w:rsidR="000916F4" w:rsidRPr="00C23379">
              <w:rPr>
                <w:noProof/>
                <w:webHidden/>
              </w:rPr>
              <w:tab/>
            </w:r>
            <w:r w:rsidR="000916F4" w:rsidRPr="00C23379">
              <w:rPr>
                <w:noProof/>
                <w:webHidden/>
              </w:rPr>
              <w:fldChar w:fldCharType="begin"/>
            </w:r>
            <w:r w:rsidR="000916F4" w:rsidRPr="00C23379">
              <w:rPr>
                <w:noProof/>
                <w:webHidden/>
              </w:rPr>
              <w:instrText xml:space="preserve"> PAGEREF _Toc144204106 \h </w:instrText>
            </w:r>
            <w:r w:rsidR="000916F4" w:rsidRPr="00C23379">
              <w:rPr>
                <w:noProof/>
                <w:webHidden/>
              </w:rPr>
            </w:r>
            <w:r w:rsidR="000916F4" w:rsidRPr="00C23379">
              <w:rPr>
                <w:noProof/>
                <w:webHidden/>
              </w:rPr>
              <w:fldChar w:fldCharType="separate"/>
            </w:r>
            <w:r w:rsidR="00C23379">
              <w:rPr>
                <w:noProof/>
                <w:webHidden/>
              </w:rPr>
              <w:t>1</w:t>
            </w:r>
            <w:r w:rsidR="000916F4" w:rsidRPr="00C23379">
              <w:rPr>
                <w:noProof/>
                <w:webHidden/>
              </w:rPr>
              <w:fldChar w:fldCharType="end"/>
            </w:r>
          </w:hyperlink>
        </w:p>
        <w:p w14:paraId="691ACEB9" w14:textId="41DF4B2C" w:rsidR="000916F4" w:rsidRPr="00C23379" w:rsidRDefault="000916F4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07" w:history="1">
            <w:r w:rsidRPr="00C2337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I.</w:t>
            </w:r>
            <w:r w:rsidRPr="00C2337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23379">
              <w:rPr>
                <w:rStyle w:val="Hypertextovodkaz"/>
                <w:noProof/>
              </w:rPr>
              <w:t>Obecná ustanovení</w:t>
            </w:r>
            <w:r w:rsidRPr="00C23379">
              <w:rPr>
                <w:noProof/>
                <w:webHidden/>
              </w:rPr>
              <w:tab/>
            </w:r>
            <w:r w:rsidRPr="00C23379">
              <w:rPr>
                <w:noProof/>
                <w:webHidden/>
              </w:rPr>
              <w:fldChar w:fldCharType="begin"/>
            </w:r>
            <w:r w:rsidRPr="00C23379">
              <w:rPr>
                <w:noProof/>
                <w:webHidden/>
              </w:rPr>
              <w:instrText xml:space="preserve"> PAGEREF _Toc144204107 \h </w:instrText>
            </w:r>
            <w:r w:rsidRPr="00C23379">
              <w:rPr>
                <w:noProof/>
                <w:webHidden/>
              </w:rPr>
            </w:r>
            <w:r w:rsidRPr="00C23379">
              <w:rPr>
                <w:noProof/>
                <w:webHidden/>
              </w:rPr>
              <w:fldChar w:fldCharType="separate"/>
            </w:r>
            <w:r w:rsidR="00C23379">
              <w:rPr>
                <w:noProof/>
                <w:webHidden/>
              </w:rPr>
              <w:t>1</w:t>
            </w:r>
            <w:r w:rsidRPr="00C23379">
              <w:rPr>
                <w:noProof/>
                <w:webHidden/>
              </w:rPr>
              <w:fldChar w:fldCharType="end"/>
            </w:r>
          </w:hyperlink>
        </w:p>
        <w:p w14:paraId="44797EC6" w14:textId="5CBEB44C" w:rsidR="000916F4" w:rsidRPr="00C23379" w:rsidRDefault="000916F4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08" w:history="1">
            <w:r w:rsidRPr="00C2337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II.</w:t>
            </w:r>
            <w:r w:rsidRPr="00C2337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23379">
              <w:rPr>
                <w:rStyle w:val="Hypertextovodkaz"/>
                <w:noProof/>
              </w:rPr>
              <w:t>Oznamování protiprávního jednání</w:t>
            </w:r>
            <w:r w:rsidRPr="00C23379">
              <w:rPr>
                <w:noProof/>
                <w:webHidden/>
              </w:rPr>
              <w:tab/>
            </w:r>
            <w:r w:rsidRPr="00C23379">
              <w:rPr>
                <w:noProof/>
                <w:webHidden/>
              </w:rPr>
              <w:fldChar w:fldCharType="begin"/>
            </w:r>
            <w:r w:rsidRPr="00C23379">
              <w:rPr>
                <w:noProof/>
                <w:webHidden/>
              </w:rPr>
              <w:instrText xml:space="preserve"> PAGEREF _Toc144204108 \h </w:instrText>
            </w:r>
            <w:r w:rsidRPr="00C23379">
              <w:rPr>
                <w:noProof/>
                <w:webHidden/>
              </w:rPr>
            </w:r>
            <w:r w:rsidRPr="00C23379">
              <w:rPr>
                <w:noProof/>
                <w:webHidden/>
              </w:rPr>
              <w:fldChar w:fldCharType="separate"/>
            </w:r>
            <w:r w:rsidR="00C23379">
              <w:rPr>
                <w:noProof/>
                <w:webHidden/>
              </w:rPr>
              <w:t>1</w:t>
            </w:r>
            <w:r w:rsidRPr="00C23379">
              <w:rPr>
                <w:noProof/>
                <w:webHidden/>
              </w:rPr>
              <w:fldChar w:fldCharType="end"/>
            </w:r>
          </w:hyperlink>
        </w:p>
        <w:p w14:paraId="04015D88" w14:textId="7496AA93" w:rsidR="000916F4" w:rsidRPr="00C23379" w:rsidRDefault="000916F4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09" w:history="1">
            <w:r w:rsidRPr="00C2337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III.</w:t>
            </w:r>
            <w:r w:rsidRPr="00C2337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23379">
              <w:rPr>
                <w:rStyle w:val="Hypertextovodkaz"/>
                <w:noProof/>
              </w:rPr>
              <w:t>Formy podání oznámení</w:t>
            </w:r>
            <w:r w:rsidRPr="00C23379">
              <w:rPr>
                <w:noProof/>
                <w:webHidden/>
              </w:rPr>
              <w:tab/>
            </w:r>
            <w:r w:rsidRPr="00C23379">
              <w:rPr>
                <w:noProof/>
                <w:webHidden/>
              </w:rPr>
              <w:fldChar w:fldCharType="begin"/>
            </w:r>
            <w:r w:rsidRPr="00C23379">
              <w:rPr>
                <w:noProof/>
                <w:webHidden/>
              </w:rPr>
              <w:instrText xml:space="preserve"> PAGEREF _Toc144204109 \h </w:instrText>
            </w:r>
            <w:r w:rsidRPr="00C23379">
              <w:rPr>
                <w:noProof/>
                <w:webHidden/>
              </w:rPr>
            </w:r>
            <w:r w:rsidRPr="00C23379">
              <w:rPr>
                <w:noProof/>
                <w:webHidden/>
              </w:rPr>
              <w:fldChar w:fldCharType="separate"/>
            </w:r>
            <w:r w:rsidR="00C23379">
              <w:rPr>
                <w:noProof/>
                <w:webHidden/>
              </w:rPr>
              <w:t>2</w:t>
            </w:r>
            <w:r w:rsidRPr="00C23379">
              <w:rPr>
                <w:noProof/>
                <w:webHidden/>
              </w:rPr>
              <w:fldChar w:fldCharType="end"/>
            </w:r>
          </w:hyperlink>
        </w:p>
        <w:p w14:paraId="436DD797" w14:textId="4641EAA5" w:rsidR="000916F4" w:rsidRPr="00C23379" w:rsidRDefault="000916F4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10" w:history="1">
            <w:r w:rsidRPr="00C2337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IV.</w:t>
            </w:r>
            <w:r w:rsidRPr="00C2337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23379">
              <w:rPr>
                <w:rStyle w:val="Hypertextovodkaz"/>
                <w:noProof/>
              </w:rPr>
              <w:t>Postupy po podání oznámení</w:t>
            </w:r>
            <w:r w:rsidRPr="00C23379">
              <w:rPr>
                <w:noProof/>
                <w:webHidden/>
              </w:rPr>
              <w:tab/>
            </w:r>
            <w:r w:rsidRPr="00C23379">
              <w:rPr>
                <w:noProof/>
                <w:webHidden/>
              </w:rPr>
              <w:fldChar w:fldCharType="begin"/>
            </w:r>
            <w:r w:rsidRPr="00C23379">
              <w:rPr>
                <w:noProof/>
                <w:webHidden/>
              </w:rPr>
              <w:instrText xml:space="preserve"> PAGEREF _Toc144204110 \h </w:instrText>
            </w:r>
            <w:r w:rsidRPr="00C23379">
              <w:rPr>
                <w:noProof/>
                <w:webHidden/>
              </w:rPr>
            </w:r>
            <w:r w:rsidRPr="00C23379">
              <w:rPr>
                <w:noProof/>
                <w:webHidden/>
              </w:rPr>
              <w:fldChar w:fldCharType="separate"/>
            </w:r>
            <w:r w:rsidR="00C23379">
              <w:rPr>
                <w:noProof/>
                <w:webHidden/>
              </w:rPr>
              <w:t>3</w:t>
            </w:r>
            <w:r w:rsidRPr="00C23379">
              <w:rPr>
                <w:noProof/>
                <w:webHidden/>
              </w:rPr>
              <w:fldChar w:fldCharType="end"/>
            </w:r>
          </w:hyperlink>
        </w:p>
        <w:p w14:paraId="67F483A2" w14:textId="73909D8F" w:rsidR="000916F4" w:rsidRPr="00C23379" w:rsidRDefault="000916F4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11" w:history="1">
            <w:r w:rsidRPr="00C2337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V.</w:t>
            </w:r>
            <w:r w:rsidRPr="00C2337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23379">
              <w:rPr>
                <w:rStyle w:val="Hypertextovodkaz"/>
                <w:noProof/>
              </w:rPr>
              <w:t>Důvodnost podání</w:t>
            </w:r>
            <w:r w:rsidRPr="00C23379">
              <w:rPr>
                <w:noProof/>
                <w:webHidden/>
              </w:rPr>
              <w:tab/>
            </w:r>
            <w:r w:rsidRPr="00C23379">
              <w:rPr>
                <w:noProof/>
                <w:webHidden/>
              </w:rPr>
              <w:fldChar w:fldCharType="begin"/>
            </w:r>
            <w:r w:rsidRPr="00C23379">
              <w:rPr>
                <w:noProof/>
                <w:webHidden/>
              </w:rPr>
              <w:instrText xml:space="preserve"> PAGEREF _Toc144204111 \h </w:instrText>
            </w:r>
            <w:r w:rsidRPr="00C23379">
              <w:rPr>
                <w:noProof/>
                <w:webHidden/>
              </w:rPr>
            </w:r>
            <w:r w:rsidRPr="00C23379">
              <w:rPr>
                <w:noProof/>
                <w:webHidden/>
              </w:rPr>
              <w:fldChar w:fldCharType="separate"/>
            </w:r>
            <w:r w:rsidR="00C23379">
              <w:rPr>
                <w:noProof/>
                <w:webHidden/>
              </w:rPr>
              <w:t>3</w:t>
            </w:r>
            <w:r w:rsidRPr="00C23379">
              <w:rPr>
                <w:noProof/>
                <w:webHidden/>
              </w:rPr>
              <w:fldChar w:fldCharType="end"/>
            </w:r>
          </w:hyperlink>
        </w:p>
        <w:p w14:paraId="2A6ADE81" w14:textId="37233BEB" w:rsidR="000916F4" w:rsidRPr="00C23379" w:rsidRDefault="000916F4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12" w:history="1">
            <w:r w:rsidRPr="00C2337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VI.</w:t>
            </w:r>
            <w:r w:rsidRPr="00C2337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23379">
              <w:rPr>
                <w:rStyle w:val="Hypertextovodkaz"/>
                <w:noProof/>
              </w:rPr>
              <w:t>Odvetná opatření a prostředky nápravy</w:t>
            </w:r>
            <w:r w:rsidRPr="00C23379">
              <w:rPr>
                <w:noProof/>
                <w:webHidden/>
              </w:rPr>
              <w:tab/>
            </w:r>
            <w:r w:rsidRPr="00C23379">
              <w:rPr>
                <w:noProof/>
                <w:webHidden/>
              </w:rPr>
              <w:fldChar w:fldCharType="begin"/>
            </w:r>
            <w:r w:rsidRPr="00C23379">
              <w:rPr>
                <w:noProof/>
                <w:webHidden/>
              </w:rPr>
              <w:instrText xml:space="preserve"> PAGEREF _Toc144204112 \h </w:instrText>
            </w:r>
            <w:r w:rsidRPr="00C23379">
              <w:rPr>
                <w:noProof/>
                <w:webHidden/>
              </w:rPr>
            </w:r>
            <w:r w:rsidRPr="00C23379">
              <w:rPr>
                <w:noProof/>
                <w:webHidden/>
              </w:rPr>
              <w:fldChar w:fldCharType="separate"/>
            </w:r>
            <w:r w:rsidR="00C23379">
              <w:rPr>
                <w:noProof/>
                <w:webHidden/>
              </w:rPr>
              <w:t>3</w:t>
            </w:r>
            <w:r w:rsidRPr="00C23379">
              <w:rPr>
                <w:noProof/>
                <w:webHidden/>
              </w:rPr>
              <w:fldChar w:fldCharType="end"/>
            </w:r>
          </w:hyperlink>
        </w:p>
        <w:p w14:paraId="60E6CFFB" w14:textId="6DD9A55A" w:rsidR="000916F4" w:rsidRPr="00C23379" w:rsidRDefault="000916F4">
          <w:pPr>
            <w:pStyle w:val="Obsah2"/>
            <w:tabs>
              <w:tab w:val="left" w:pos="154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13" w:history="1">
            <w:r w:rsidRPr="00C2337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VII.</w:t>
            </w:r>
            <w:r w:rsidRPr="00C2337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23379">
              <w:rPr>
                <w:rStyle w:val="Hypertextovodkaz"/>
                <w:noProof/>
              </w:rPr>
              <w:t>Zpracování osobních údajů a způsob zachování režimu důvěrnosti</w:t>
            </w:r>
            <w:r w:rsidRPr="00C23379">
              <w:rPr>
                <w:noProof/>
                <w:webHidden/>
              </w:rPr>
              <w:tab/>
            </w:r>
            <w:r w:rsidRPr="00C23379">
              <w:rPr>
                <w:noProof/>
                <w:webHidden/>
              </w:rPr>
              <w:fldChar w:fldCharType="begin"/>
            </w:r>
            <w:r w:rsidRPr="00C23379">
              <w:rPr>
                <w:noProof/>
                <w:webHidden/>
              </w:rPr>
              <w:instrText xml:space="preserve"> PAGEREF _Toc144204113 \h </w:instrText>
            </w:r>
            <w:r w:rsidRPr="00C23379">
              <w:rPr>
                <w:noProof/>
                <w:webHidden/>
              </w:rPr>
            </w:r>
            <w:r w:rsidRPr="00C23379">
              <w:rPr>
                <w:noProof/>
                <w:webHidden/>
              </w:rPr>
              <w:fldChar w:fldCharType="separate"/>
            </w:r>
            <w:r w:rsidR="00C23379">
              <w:rPr>
                <w:noProof/>
                <w:webHidden/>
              </w:rPr>
              <w:t>4</w:t>
            </w:r>
            <w:r w:rsidRPr="00C23379">
              <w:rPr>
                <w:noProof/>
                <w:webHidden/>
              </w:rPr>
              <w:fldChar w:fldCharType="end"/>
            </w:r>
          </w:hyperlink>
        </w:p>
        <w:p w14:paraId="11C5B737" w14:textId="67E1F0A7" w:rsidR="000916F4" w:rsidRPr="00C23379" w:rsidRDefault="000916F4">
          <w:pPr>
            <w:pStyle w:val="Obsah2"/>
            <w:tabs>
              <w:tab w:val="left" w:pos="154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14" w:history="1">
            <w:r w:rsidRPr="00C23379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VIII.</w:t>
            </w:r>
            <w:r w:rsidRPr="00C2337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Pr="00C23379">
              <w:rPr>
                <w:rStyle w:val="Hypertextovodkaz"/>
                <w:noProof/>
              </w:rPr>
              <w:t>Účinnost</w:t>
            </w:r>
            <w:r w:rsidRPr="00C23379">
              <w:rPr>
                <w:noProof/>
                <w:webHidden/>
              </w:rPr>
              <w:tab/>
            </w:r>
            <w:r w:rsidRPr="00C23379">
              <w:rPr>
                <w:noProof/>
                <w:webHidden/>
              </w:rPr>
              <w:fldChar w:fldCharType="begin"/>
            </w:r>
            <w:r w:rsidRPr="00C23379">
              <w:rPr>
                <w:noProof/>
                <w:webHidden/>
              </w:rPr>
              <w:instrText xml:space="preserve"> PAGEREF _Toc144204114 \h </w:instrText>
            </w:r>
            <w:r w:rsidRPr="00C23379">
              <w:rPr>
                <w:noProof/>
                <w:webHidden/>
              </w:rPr>
            </w:r>
            <w:r w:rsidRPr="00C23379">
              <w:rPr>
                <w:noProof/>
                <w:webHidden/>
              </w:rPr>
              <w:fldChar w:fldCharType="separate"/>
            </w:r>
            <w:r w:rsidR="00C23379">
              <w:rPr>
                <w:noProof/>
                <w:webHidden/>
              </w:rPr>
              <w:t>4</w:t>
            </w:r>
            <w:r w:rsidRPr="00C23379">
              <w:rPr>
                <w:noProof/>
                <w:webHidden/>
              </w:rPr>
              <w:fldChar w:fldCharType="end"/>
            </w:r>
          </w:hyperlink>
        </w:p>
        <w:p w14:paraId="69126317" w14:textId="77777777" w:rsidR="00416254" w:rsidRPr="00C23379" w:rsidRDefault="00416254">
          <w:r w:rsidRPr="00C23379">
            <w:rPr>
              <w:b/>
              <w:bCs/>
            </w:rPr>
            <w:fldChar w:fldCharType="end"/>
          </w:r>
        </w:p>
      </w:sdtContent>
    </w:sdt>
    <w:p w14:paraId="01704658" w14:textId="77777777" w:rsidR="003224C1" w:rsidRPr="00C23379" w:rsidRDefault="00607225" w:rsidP="006B66CE">
      <w:pPr>
        <w:pStyle w:val="Nadpis21"/>
        <w:keepNext/>
        <w:keepLines/>
        <w:shd w:val="clear" w:color="auto" w:fill="auto"/>
        <w:spacing w:before="0" w:after="0" w:line="240" w:lineRule="auto"/>
        <w:ind w:left="284" w:right="697"/>
        <w:rPr>
          <w:lang w:eastAsia="en-US" w:bidi="en-US"/>
        </w:rPr>
      </w:pPr>
      <w:bookmarkStart w:id="0" w:name="bookmark0"/>
      <w:bookmarkStart w:id="1" w:name="_Toc144204106"/>
      <w:r w:rsidRPr="00C23379">
        <w:t>Vnitřní předpis</w:t>
      </w:r>
      <w:r w:rsidR="006B66CE" w:rsidRPr="00C23379">
        <w:br/>
        <w:t>předsedkyně Okresního soudu v Trutnově</w:t>
      </w:r>
      <w:r w:rsidR="006B66CE" w:rsidRPr="00C23379">
        <w:br/>
        <w:t xml:space="preserve">35 </w:t>
      </w:r>
      <w:proofErr w:type="spellStart"/>
      <w:r w:rsidR="006B66CE" w:rsidRPr="00C23379">
        <w:t>Spr</w:t>
      </w:r>
      <w:proofErr w:type="spellEnd"/>
      <w:r w:rsidR="006B66CE" w:rsidRPr="00C23379">
        <w:t xml:space="preserve"> </w:t>
      </w:r>
      <w:r w:rsidR="00295F28" w:rsidRPr="00C23379">
        <w:t>1021</w:t>
      </w:r>
      <w:r w:rsidR="006B66CE" w:rsidRPr="00C23379">
        <w:t>/2023</w:t>
      </w:r>
      <w:r w:rsidR="006B66CE" w:rsidRPr="00C23379">
        <w:br/>
      </w:r>
      <w:r w:rsidRPr="00C23379">
        <w:t>o vnitřním oznamovacím systému pro oznamování protiprávního</w:t>
      </w:r>
      <w:r w:rsidR="006B66CE" w:rsidRPr="00C23379">
        <w:t xml:space="preserve"> </w:t>
      </w:r>
      <w:r w:rsidRPr="00C23379">
        <w:t xml:space="preserve">jednání a o ochraně těchto oznamovatelů </w:t>
      </w:r>
      <w:r w:rsidRPr="00C23379">
        <w:rPr>
          <w:lang w:eastAsia="en-US" w:bidi="en-US"/>
        </w:rPr>
        <w:t>(</w:t>
      </w:r>
      <w:proofErr w:type="spellStart"/>
      <w:r w:rsidRPr="00C23379">
        <w:rPr>
          <w:lang w:eastAsia="en-US" w:bidi="en-US"/>
        </w:rPr>
        <w:t>whistleblowing</w:t>
      </w:r>
      <w:proofErr w:type="spellEnd"/>
      <w:r w:rsidRPr="00C23379">
        <w:rPr>
          <w:lang w:eastAsia="en-US" w:bidi="en-US"/>
        </w:rPr>
        <w:t>)</w:t>
      </w:r>
      <w:bookmarkEnd w:id="0"/>
      <w:bookmarkEnd w:id="1"/>
    </w:p>
    <w:p w14:paraId="4B476167" w14:textId="77777777" w:rsidR="006B66CE" w:rsidRPr="00C23379" w:rsidRDefault="006B66CE" w:rsidP="00245F25">
      <w:pPr>
        <w:pStyle w:val="Nadpis2"/>
      </w:pPr>
      <w:r w:rsidRPr="00C23379">
        <w:br/>
      </w:r>
      <w:bookmarkStart w:id="2" w:name="_Toc144204107"/>
      <w:r w:rsidRPr="00C23379">
        <w:t>Obecná ustanovení</w:t>
      </w:r>
      <w:bookmarkEnd w:id="2"/>
    </w:p>
    <w:p w14:paraId="0C70988B" w14:textId="77777777" w:rsidR="006B66CE" w:rsidRPr="00C23379" w:rsidRDefault="00607225" w:rsidP="004120B0">
      <w:pPr>
        <w:pStyle w:val="Zkladntext20"/>
        <w:numPr>
          <w:ilvl w:val="0"/>
          <w:numId w:val="2"/>
        </w:numPr>
        <w:shd w:val="clear" w:color="auto" w:fill="auto"/>
        <w:spacing w:after="261" w:line="266" w:lineRule="exact"/>
        <w:ind w:left="284" w:right="698"/>
        <w:jc w:val="both"/>
      </w:pPr>
      <w:r w:rsidRPr="00C23379">
        <w:t>Ve smyslu zák</w:t>
      </w:r>
      <w:r w:rsidR="004120B0" w:rsidRPr="00C23379">
        <w:t xml:space="preserve">ona </w:t>
      </w:r>
      <w:r w:rsidRPr="00C23379">
        <w:t>č. 171/2023 Sb.</w:t>
      </w:r>
      <w:r w:rsidR="004120B0" w:rsidRPr="00C23379">
        <w:t>,</w:t>
      </w:r>
      <w:r w:rsidRPr="00C23379">
        <w:t xml:space="preserve"> o ochraně oznamovatelů</w:t>
      </w:r>
      <w:r w:rsidR="004120B0" w:rsidRPr="00C23379">
        <w:t>,</w:t>
      </w:r>
      <w:r w:rsidRPr="00C23379">
        <w:t xml:space="preserve"> (dále jen </w:t>
      </w:r>
      <w:r w:rsidR="004120B0" w:rsidRPr="00C23379">
        <w:t>„</w:t>
      </w:r>
      <w:r w:rsidRPr="00C23379">
        <w:t>zákon</w:t>
      </w:r>
      <w:r w:rsidR="004120B0" w:rsidRPr="00C23379">
        <w:t>“</w:t>
      </w:r>
      <w:r w:rsidRPr="00C23379">
        <w:t>) a Směrnice Evropského parlamentu a rady (EU) 2019/1937 ze dne 23. října 2019 o ochraně osob, které oznamují porušení práva Unie</w:t>
      </w:r>
      <w:r w:rsidR="00C4470B" w:rsidRPr="00C23379">
        <w:t xml:space="preserve"> (dále jen „směrnice“)</w:t>
      </w:r>
      <w:r w:rsidR="004120B0" w:rsidRPr="00C23379">
        <w:t>,</w:t>
      </w:r>
      <w:r w:rsidRPr="00C23379">
        <w:t xml:space="preserve"> vydávám tento vnitřní předpis o oznamovacím systému pro</w:t>
      </w:r>
      <w:r w:rsidR="00871D1A" w:rsidRPr="00C23379">
        <w:t> </w:t>
      </w:r>
      <w:r w:rsidRPr="00C23379">
        <w:t xml:space="preserve">oznamování protiprávního jednání a o ochraně </w:t>
      </w:r>
      <w:proofErr w:type="spellStart"/>
      <w:r w:rsidR="006B66CE" w:rsidRPr="00C23379">
        <w:t>whistleblowerů</w:t>
      </w:r>
      <w:proofErr w:type="spellEnd"/>
      <w:r w:rsidR="006B66CE" w:rsidRPr="00C23379">
        <w:t xml:space="preserve"> (dále jen „oznamovatelů“) </w:t>
      </w:r>
      <w:r w:rsidRPr="00C23379">
        <w:t>u</w:t>
      </w:r>
      <w:r w:rsidR="00871D1A" w:rsidRPr="00C23379">
        <w:t> </w:t>
      </w:r>
      <w:r w:rsidRPr="00C23379">
        <w:t>Okresního soudu v Trutnově.</w:t>
      </w:r>
    </w:p>
    <w:p w14:paraId="5698CF8E" w14:textId="77777777" w:rsidR="003224C1" w:rsidRPr="00C23379" w:rsidRDefault="00607225" w:rsidP="004120B0">
      <w:pPr>
        <w:pStyle w:val="Zkladntext20"/>
        <w:numPr>
          <w:ilvl w:val="0"/>
          <w:numId w:val="2"/>
        </w:numPr>
        <w:shd w:val="clear" w:color="auto" w:fill="auto"/>
        <w:spacing w:after="261" w:line="266" w:lineRule="exact"/>
        <w:ind w:left="284" w:right="698"/>
        <w:jc w:val="both"/>
      </w:pPr>
      <w:r w:rsidRPr="00C23379">
        <w:t>Hlavním cílem ochrany oznamovatelů je umožnění odhalování případného protiprávního jednání na pracovištích Okresního soudu v Trutnově, nebo protiprávního jednání odehráv</w:t>
      </w:r>
      <w:r w:rsidR="004120B0" w:rsidRPr="00C23379">
        <w:t xml:space="preserve">ajícího se při výkonu pracovní </w:t>
      </w:r>
      <w:r w:rsidRPr="00C23379">
        <w:t>či jiné obdobné činnosti zaměstnanců soudu. Jde o</w:t>
      </w:r>
      <w:r w:rsidR="00871D1A" w:rsidRPr="00C23379">
        <w:t> </w:t>
      </w:r>
      <w:r w:rsidRPr="00C23379">
        <w:t xml:space="preserve">protiprávní jednání, o kterém zaměstnanci, soudci a osoby v podobném postavení (dále jen </w:t>
      </w:r>
      <w:r w:rsidR="004120B0" w:rsidRPr="00C23379">
        <w:t>„</w:t>
      </w:r>
      <w:r w:rsidRPr="00C23379">
        <w:t>zaměstnanci</w:t>
      </w:r>
      <w:r w:rsidR="004120B0" w:rsidRPr="00C23379">
        <w:t>“</w:t>
      </w:r>
      <w:r w:rsidRPr="00C23379">
        <w:t>) za normálních okolností zaměstnavatele nebo příslušné státní orgány neinformují, a to zejména ze strachu ze ztráty zaměstnání či jiného postihu. Může se však jednat i o oznámení jiného protiprávního jednání, které s</w:t>
      </w:r>
      <w:r w:rsidR="004120B0" w:rsidRPr="00C23379">
        <w:t> </w:t>
      </w:r>
      <w:r w:rsidRPr="00C23379">
        <w:t>činností zaměstnavatele nesouvisí, nicméně oznamovatel se o něm dozvěděl v souvislosti s prací.</w:t>
      </w:r>
    </w:p>
    <w:p w14:paraId="3F5F6A3B" w14:textId="77777777" w:rsidR="000066D1" w:rsidRPr="00C23379" w:rsidRDefault="000066D1" w:rsidP="00245F25">
      <w:pPr>
        <w:pStyle w:val="Nadpis2"/>
      </w:pPr>
      <w:r w:rsidRPr="00C23379">
        <w:br/>
      </w:r>
      <w:bookmarkStart w:id="3" w:name="_Toc144204108"/>
      <w:r w:rsidR="00F9029F" w:rsidRPr="00C23379">
        <w:t>Oznamování</w:t>
      </w:r>
      <w:r w:rsidRPr="00C23379">
        <w:t xml:space="preserve"> </w:t>
      </w:r>
      <w:r w:rsidR="0035299C" w:rsidRPr="00C23379">
        <w:t>protiprávního jednání</w:t>
      </w:r>
      <w:bookmarkEnd w:id="3"/>
    </w:p>
    <w:p w14:paraId="4A7B25A3" w14:textId="77777777" w:rsidR="003C176B" w:rsidRPr="00C23379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>Informovat o podezření na protiprávní jednání je právem, nikoliv povinností zaměstnance.</w:t>
      </w:r>
    </w:p>
    <w:p w14:paraId="715FADA3" w14:textId="77777777" w:rsidR="0078229A" w:rsidRPr="00C23379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Oznamovatelem může být každá fyzická osoba, která oznámí a uvede informace o porušení, jež </w:t>
      </w:r>
      <w:r w:rsidRPr="00C23379">
        <w:lastRenderedPageBreak/>
        <w:t xml:space="preserve">získala v souvislosti s činnostmi souvisejícími s prací. Takovou osobou může být </w:t>
      </w:r>
      <w:r w:rsidR="00A97361" w:rsidRPr="00C23379">
        <w:t xml:space="preserve">například </w:t>
      </w:r>
      <w:r w:rsidRPr="00C23379">
        <w:t>zaměstnanec, bývalý zaměstnanec,</w:t>
      </w:r>
      <w:r w:rsidR="00A97361" w:rsidRPr="00C23379">
        <w:t xml:space="preserve"> uchazeč o zaměstnání, stážista, </w:t>
      </w:r>
      <w:r w:rsidRPr="00C23379">
        <w:t>dodavatel, který je, nebo byl, s Okresním soudem v Trutnově ve smluvním vztahu</w:t>
      </w:r>
      <w:r w:rsidR="00A97361" w:rsidRPr="00C23379">
        <w:t xml:space="preserve"> apod.</w:t>
      </w:r>
    </w:p>
    <w:p w14:paraId="7E9534BB" w14:textId="77777777" w:rsidR="00891B0E" w:rsidRPr="00C23379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Oznámení se </w:t>
      </w:r>
      <w:r w:rsidR="00D711E6" w:rsidRPr="00C23379">
        <w:t>musí týkat</w:t>
      </w:r>
      <w:r w:rsidRPr="00C23379">
        <w:t xml:space="preserve"> jednání, které jeví znaky možného porušení pr</w:t>
      </w:r>
      <w:r w:rsidR="00D711E6" w:rsidRPr="00C23379">
        <w:t>áva naší republiky, nebo práva Evropské unie</w:t>
      </w:r>
      <w:r w:rsidRPr="00C23379">
        <w:t xml:space="preserve"> (trestné činnosti, přestupků, protiprávního jednání). Nejčastějším předmětem oznámení </w:t>
      </w:r>
      <w:r w:rsidR="0078229A" w:rsidRPr="00C23379">
        <w:t>oznamovatelů</w:t>
      </w:r>
      <w:r w:rsidRPr="00C23379">
        <w:t xml:space="preserve"> může být např. oblast veřejných zakázek, porušení bezpečnosti práce, porušení ochrany osobních údajů, bezpečnosti </w:t>
      </w:r>
      <w:r w:rsidR="00B023BE" w:rsidRPr="00C23379">
        <w:t xml:space="preserve">počítačových </w:t>
      </w:r>
      <w:r w:rsidRPr="00C23379">
        <w:t>sítí a informačních systémů, ochrana životního prostředí, ochrana veřejného zdraví, porušení finančních zájmů Evropské unie apod. Kompletní výčet oblastí je uveden v § 2 zákona.</w:t>
      </w:r>
    </w:p>
    <w:p w14:paraId="3D14E724" w14:textId="77777777" w:rsidR="00891B0E" w:rsidRPr="00C23379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Druh podání, které </w:t>
      </w:r>
      <w:r w:rsidRPr="00C23379">
        <w:rPr>
          <w:rStyle w:val="Zkladntext2Tun0"/>
          <w:b w:val="0"/>
          <w:u w:val="none"/>
        </w:rPr>
        <w:t>může</w:t>
      </w:r>
      <w:r w:rsidRPr="00C23379">
        <w:rPr>
          <w:rStyle w:val="Zkladntext2Tun"/>
          <w:b w:val="0"/>
        </w:rPr>
        <w:t xml:space="preserve"> </w:t>
      </w:r>
      <w:r w:rsidRPr="00C23379">
        <w:t xml:space="preserve">oznamovatel Okresnímu soudu v Trutnově oznámit, </w:t>
      </w:r>
      <w:r w:rsidRPr="00C23379">
        <w:rPr>
          <w:rStyle w:val="Zkladntext2Tun"/>
          <w:b w:val="0"/>
        </w:rPr>
        <w:t xml:space="preserve">aby získal statut oznamovatele, </w:t>
      </w:r>
      <w:r w:rsidRPr="00C23379">
        <w:t>a zajistil si tak příslušnou ochranu, jsou informace o důvodných podezřeních, o</w:t>
      </w:r>
      <w:r w:rsidR="00871D1A" w:rsidRPr="00C23379">
        <w:t> </w:t>
      </w:r>
      <w:r w:rsidRPr="00C23379">
        <w:t>skutečných či možných porušeních předpisů, k nimž došlo nebo by mohlo dojít u Okresního soudu v Trutnově, nebo o pokusech taková porušení utajit.</w:t>
      </w:r>
    </w:p>
    <w:p w14:paraId="65F417A2" w14:textId="77777777" w:rsidR="00891B0E" w:rsidRPr="00C23379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Důvody, které vedou oznamovatele k oznámení, nejsou pro rozhodnutí o poskytnutí ochrany jeho osoby podstatné. Tuto </w:t>
      </w:r>
      <w:r w:rsidRPr="00C23379">
        <w:rPr>
          <w:rStyle w:val="Zkladntext2Tun"/>
          <w:b w:val="0"/>
        </w:rPr>
        <w:t xml:space="preserve">ochranu nelze poskytnou </w:t>
      </w:r>
      <w:r w:rsidRPr="00C23379">
        <w:t xml:space="preserve">osobě, která podá informace </w:t>
      </w:r>
      <w:r w:rsidRPr="00C23379">
        <w:rPr>
          <w:rStyle w:val="Zkladntext2Tun"/>
          <w:b w:val="0"/>
        </w:rPr>
        <w:t xml:space="preserve">úmyslně </w:t>
      </w:r>
      <w:r w:rsidRPr="00C23379">
        <w:t>a vědomě nesprávné, nepravdivé či zavádějící.</w:t>
      </w:r>
    </w:p>
    <w:p w14:paraId="603B8D99" w14:textId="77777777" w:rsidR="00EB3E3D" w:rsidRPr="00C23379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Podání, které oznamovatel Okresnímu soudu v Trutnově oznámit </w:t>
      </w:r>
      <w:r w:rsidRPr="00C23379">
        <w:rPr>
          <w:rStyle w:val="Zkladntext2Tun0"/>
          <w:b w:val="0"/>
          <w:u w:val="none"/>
        </w:rPr>
        <w:t>nemůže</w:t>
      </w:r>
      <w:r w:rsidR="001E0C16" w:rsidRPr="00C23379">
        <w:rPr>
          <w:rStyle w:val="Zkladntext2Tun0"/>
          <w:b w:val="0"/>
          <w:u w:val="none"/>
        </w:rPr>
        <w:t>,</w:t>
      </w:r>
      <w:r w:rsidRPr="00C23379">
        <w:rPr>
          <w:rStyle w:val="Zkladntext2Tun"/>
          <w:b w:val="0"/>
        </w:rPr>
        <w:t xml:space="preserve"> </w:t>
      </w:r>
      <w:r w:rsidRPr="00C23379">
        <w:t xml:space="preserve">jsou informace, které mohou bezprostředně ohrozit podstatné bezpečnostní zájmy České republiky, nebo informace o činnosti zpravodajských služeb, informace, které mohou ohrozit probíhající trestní řízení, informace podléhající ochraně podle zákona </w:t>
      </w:r>
      <w:r w:rsidR="00891B0E" w:rsidRPr="00C23379">
        <w:t xml:space="preserve">č. 240/2000 Sb., </w:t>
      </w:r>
      <w:r w:rsidRPr="00C23379">
        <w:t xml:space="preserve">o krizovém řízení </w:t>
      </w:r>
      <w:r w:rsidR="001E0C16" w:rsidRPr="00C23379">
        <w:t>a o</w:t>
      </w:r>
      <w:r w:rsidR="00871D1A" w:rsidRPr="00C23379">
        <w:t> </w:t>
      </w:r>
      <w:r w:rsidR="001E0C16" w:rsidRPr="00C23379">
        <w:t>změně některých zákonů (krizový zákon)</w:t>
      </w:r>
      <w:r w:rsidR="00DF101E" w:rsidRPr="00C23379">
        <w:t xml:space="preserve"> v platném znění</w:t>
      </w:r>
      <w:r w:rsidR="002E08B3" w:rsidRPr="00C23379">
        <w:t xml:space="preserve">, (dále jen „krizový zákon“) </w:t>
      </w:r>
      <w:r w:rsidRPr="00C23379">
        <w:t>nebo</w:t>
      </w:r>
      <w:r w:rsidR="000404E1" w:rsidRPr="00C23379">
        <w:t xml:space="preserve"> podle zákona č. 148/1998 Sb., o</w:t>
      </w:r>
      <w:r w:rsidRPr="00C23379">
        <w:t xml:space="preserve"> </w:t>
      </w:r>
      <w:r w:rsidR="000404E1" w:rsidRPr="00C23379">
        <w:t>ochraně utajovaných skutečn</w:t>
      </w:r>
      <w:r w:rsidR="00DF101E" w:rsidRPr="00C23379">
        <w:t xml:space="preserve">ostí a o změně některých zákonů v platném </w:t>
      </w:r>
      <w:r w:rsidR="002E08B3" w:rsidRPr="00C23379">
        <w:t>znění (dále jen „zákon ochraně utajovaných skutečností“).</w:t>
      </w:r>
    </w:p>
    <w:p w14:paraId="67B40810" w14:textId="77777777" w:rsidR="002E08B3" w:rsidRPr="00C23379" w:rsidRDefault="00607225" w:rsidP="00EB3E3D">
      <w:pPr>
        <w:pStyle w:val="Zkladntext20"/>
        <w:keepNext/>
        <w:keepLines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Při oznamování může dojít k </w:t>
      </w:r>
      <w:r w:rsidRPr="00C23379">
        <w:rPr>
          <w:rStyle w:val="Zkladntext2Tun"/>
          <w:b w:val="0"/>
        </w:rPr>
        <w:t xml:space="preserve">porušení smluvní mlčenlivosti </w:t>
      </w:r>
      <w:r w:rsidRPr="00C23379">
        <w:t xml:space="preserve">a mlčenlivosti dle jiných předpisů (např. </w:t>
      </w:r>
      <w:r w:rsidR="002E08B3" w:rsidRPr="00C23379">
        <w:t xml:space="preserve">dle zákona č. 280/2009 Sb., </w:t>
      </w:r>
      <w:r w:rsidRPr="00C23379">
        <w:t xml:space="preserve">daňový řád, </w:t>
      </w:r>
      <w:r w:rsidR="002E08B3" w:rsidRPr="00C23379">
        <w:t>dle zákona č. 21/1992 Sb., o bankách</w:t>
      </w:r>
      <w:r w:rsidRPr="00C23379">
        <w:t xml:space="preserve">, smluvní ujednání o mlčenlivosti apod.) pouze pokud má oznamovatel důvodné podezření, že svým oznámením činí kroky k odstranění protiprávního jednání. Mlčenlivost v oblasti zájmů bezpečnosti státu </w:t>
      </w:r>
      <w:r w:rsidRPr="00C23379">
        <w:rPr>
          <w:rStyle w:val="Zkladntext2Tun"/>
          <w:b w:val="0"/>
        </w:rPr>
        <w:t xml:space="preserve">prolomit nelze </w:t>
      </w:r>
      <w:r w:rsidRPr="00C23379">
        <w:t>(bezpečnost Č</w:t>
      </w:r>
      <w:r w:rsidR="002E08B3" w:rsidRPr="00C23379">
        <w:t>eské republiky</w:t>
      </w:r>
      <w:r w:rsidRPr="00C23379">
        <w:t>, svrchovanost státu, mezinárodní obrana, krizový zákon, zákon o ochraně utajovaných informací apod.)</w:t>
      </w:r>
      <w:bookmarkStart w:id="4" w:name="bookmark1"/>
      <w:r w:rsidR="002E08B3" w:rsidRPr="00C23379">
        <w:t xml:space="preserve">. </w:t>
      </w:r>
    </w:p>
    <w:p w14:paraId="00A633B8" w14:textId="77777777" w:rsidR="003224C1" w:rsidRPr="00C23379" w:rsidRDefault="002E08B3" w:rsidP="00245F25">
      <w:pPr>
        <w:pStyle w:val="Nadpis2"/>
      </w:pPr>
      <w:r w:rsidRPr="00C23379">
        <w:br/>
      </w:r>
      <w:bookmarkStart w:id="5" w:name="_Toc144204109"/>
      <w:r w:rsidR="00607225" w:rsidRPr="00C23379">
        <w:t xml:space="preserve">Formy </w:t>
      </w:r>
      <w:r w:rsidR="00364E00" w:rsidRPr="00C23379">
        <w:t xml:space="preserve">podání </w:t>
      </w:r>
      <w:r w:rsidR="00607225" w:rsidRPr="00C23379">
        <w:t>oznámení</w:t>
      </w:r>
      <w:bookmarkEnd w:id="4"/>
      <w:bookmarkEnd w:id="5"/>
    </w:p>
    <w:p w14:paraId="031ACE86" w14:textId="77777777" w:rsidR="00F62C5B" w:rsidRPr="00C23379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>Oznámení je možno podat jak písemně, tak ústně. Požádá-li o to oznamovatel, je příslušná osoba povinna oznámení přijmout osobně v přiměřené lhůtě, nejdéle však do 14 dnů ode dne, kdy o to oznamovatel požádal.</w:t>
      </w:r>
    </w:p>
    <w:p w14:paraId="36719265" w14:textId="043B4790" w:rsidR="00364E00" w:rsidRPr="00C23379" w:rsidRDefault="00511CC6" w:rsidP="003A4DFC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rPr>
          <w:rStyle w:val="Zkladntext2Tun0"/>
          <w:b w:val="0"/>
          <w:u w:val="none"/>
        </w:rPr>
        <w:t>E</w:t>
      </w:r>
      <w:r w:rsidR="00607225" w:rsidRPr="00C23379">
        <w:rPr>
          <w:rStyle w:val="Zkladntext2Tun0"/>
          <w:b w:val="0"/>
          <w:u w:val="none"/>
        </w:rPr>
        <w:t>-mailová adresa</w:t>
      </w:r>
      <w:r w:rsidR="00607225" w:rsidRPr="00C23379">
        <w:rPr>
          <w:rStyle w:val="Zkladntext2Tun"/>
          <w:b w:val="0"/>
        </w:rPr>
        <w:t xml:space="preserve"> </w:t>
      </w:r>
      <w:r w:rsidRPr="00C23379">
        <w:t>pro přijímání oznámení je</w:t>
      </w:r>
      <w:r w:rsidR="00607225" w:rsidRPr="00C23379">
        <w:t xml:space="preserve"> </w:t>
      </w:r>
      <w:hyperlink r:id="rId7" w:history="1">
        <w:r w:rsidR="00364E00" w:rsidRPr="00C23379">
          <w:rPr>
            <w:rStyle w:val="Hypertextovodkaz"/>
          </w:rPr>
          <w:t>whistleblowing@osoud.tru.justice.cz</w:t>
        </w:r>
      </w:hyperlink>
      <w:r w:rsidR="00364E00" w:rsidRPr="00C23379">
        <w:t>. Na uvedený mail je možné podat žádost o osobní podání oznámení.</w:t>
      </w:r>
      <w:r w:rsidR="003F312D" w:rsidRPr="00C23379">
        <w:t xml:space="preserve"> </w:t>
      </w:r>
      <w:r w:rsidR="00607225" w:rsidRPr="00C23379">
        <w:t xml:space="preserve">Do e-mailu má přístup pouze osoba pověřená vedením agendy </w:t>
      </w:r>
      <w:proofErr w:type="spellStart"/>
      <w:r w:rsidR="00607225" w:rsidRPr="00C23379">
        <w:t>whistleblowingu</w:t>
      </w:r>
      <w:proofErr w:type="spellEnd"/>
      <w:r w:rsidR="00607225" w:rsidRPr="00C23379">
        <w:t xml:space="preserve"> (dále jen </w:t>
      </w:r>
      <w:r w:rsidR="00364E00" w:rsidRPr="00C23379">
        <w:t>„</w:t>
      </w:r>
      <w:r w:rsidR="00607225" w:rsidRPr="00C23379">
        <w:t>řešitel</w:t>
      </w:r>
      <w:r w:rsidR="00364E00" w:rsidRPr="00C23379">
        <w:t>“</w:t>
      </w:r>
      <w:r w:rsidR="00607225" w:rsidRPr="00C23379">
        <w:t>).</w:t>
      </w:r>
    </w:p>
    <w:p w14:paraId="3E09F602" w14:textId="77777777" w:rsidR="00D82C07" w:rsidRPr="00C23379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rPr>
          <w:rStyle w:val="Zkladntext2Tun0"/>
          <w:b w:val="0"/>
          <w:u w:val="none"/>
        </w:rPr>
        <w:t>Písemné oznámení</w:t>
      </w:r>
      <w:r w:rsidRPr="00C23379">
        <w:rPr>
          <w:rStyle w:val="Zkladntext2Tun"/>
          <w:b w:val="0"/>
        </w:rPr>
        <w:t xml:space="preserve"> </w:t>
      </w:r>
      <w:r w:rsidRPr="00C23379">
        <w:t>lze podat prostřednictvím podatelny Okresního soudu v Trutnově, a to v</w:t>
      </w:r>
      <w:r w:rsidR="00871D1A" w:rsidRPr="00C23379">
        <w:t> </w:t>
      </w:r>
      <w:r w:rsidRPr="00C23379">
        <w:t xml:space="preserve">pracovní dny </w:t>
      </w:r>
      <w:r w:rsidR="003A4DFC" w:rsidRPr="00C23379">
        <w:t>v</w:t>
      </w:r>
      <w:r w:rsidRPr="00C23379">
        <w:t xml:space="preserve"> úřední</w:t>
      </w:r>
      <w:r w:rsidR="003A4DFC" w:rsidRPr="00C23379">
        <w:t>ch hodinách</w:t>
      </w:r>
      <w:r w:rsidRPr="00C23379">
        <w:t xml:space="preserve"> soudu</w:t>
      </w:r>
      <w:r w:rsidR="003A4DFC" w:rsidRPr="00C23379">
        <w:t xml:space="preserve"> uvedených </w:t>
      </w:r>
      <w:r w:rsidRPr="00C23379">
        <w:t xml:space="preserve">na webových stránkách soudu. Takové oznámení musí být podáno v řádně </w:t>
      </w:r>
      <w:r w:rsidRPr="00C23379">
        <w:rPr>
          <w:rStyle w:val="Zkladntext2Tun"/>
          <w:b w:val="0"/>
        </w:rPr>
        <w:t xml:space="preserve">zalepené obálce </w:t>
      </w:r>
      <w:r w:rsidRPr="00C23379">
        <w:t xml:space="preserve">opatřené nápisem </w:t>
      </w:r>
      <w:r w:rsidRPr="00C23379">
        <w:rPr>
          <w:lang w:eastAsia="en-US" w:bidi="en-US"/>
        </w:rPr>
        <w:t>„</w:t>
      </w:r>
      <w:proofErr w:type="gramStart"/>
      <w:r w:rsidRPr="00C23379">
        <w:rPr>
          <w:lang w:eastAsia="en-US" w:bidi="en-US"/>
        </w:rPr>
        <w:t xml:space="preserve">WHISTLEBLOWING </w:t>
      </w:r>
      <w:r w:rsidRPr="00C23379">
        <w:t>- K</w:t>
      </w:r>
      <w:proofErr w:type="gramEnd"/>
      <w:r w:rsidRPr="00C23379">
        <w:t xml:space="preserve"> RUKÁM POVĚŘENÉ OSOBY </w:t>
      </w:r>
      <w:r w:rsidR="003A4DFC" w:rsidRPr="00C23379">
        <w:t>–</w:t>
      </w:r>
      <w:r w:rsidRPr="00C23379">
        <w:t xml:space="preserve"> </w:t>
      </w:r>
      <w:r w:rsidRPr="00C23379">
        <w:rPr>
          <w:rStyle w:val="Zkladntext2Tun"/>
          <w:b w:val="0"/>
        </w:rPr>
        <w:t>NEOTVÍREJTE</w:t>
      </w:r>
      <w:r w:rsidR="003A4DFC" w:rsidRPr="00C23379">
        <w:rPr>
          <w:rStyle w:val="Zkladntext2Tun"/>
          <w:b w:val="0"/>
        </w:rPr>
        <w:t>.</w:t>
      </w:r>
      <w:r w:rsidRPr="00C23379">
        <w:rPr>
          <w:rStyle w:val="Zkladntext2Tun"/>
          <w:b w:val="0"/>
        </w:rPr>
        <w:t xml:space="preserve"> </w:t>
      </w:r>
      <w:r w:rsidRPr="00C23379">
        <w:t xml:space="preserve">Při </w:t>
      </w:r>
      <w:r w:rsidR="00D82C07" w:rsidRPr="00C23379">
        <w:t>nedodržení</w:t>
      </w:r>
      <w:r w:rsidRPr="00C23379">
        <w:t xml:space="preserve"> této podmínky nelze zcela garantovat utajení totožnosti oznamovatele nebo důvěrnost sdělovaných informací.</w:t>
      </w:r>
    </w:p>
    <w:p w14:paraId="1F2F76A2" w14:textId="77777777" w:rsidR="001204FE" w:rsidRPr="00C23379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rPr>
          <w:rStyle w:val="Zkladntext2Tun0"/>
          <w:b w:val="0"/>
          <w:u w:val="none"/>
        </w:rPr>
        <w:t>Ústní oznámení</w:t>
      </w:r>
      <w:r w:rsidRPr="00C23379">
        <w:rPr>
          <w:rStyle w:val="Zkladntext2Tun"/>
          <w:b w:val="0"/>
        </w:rPr>
        <w:t xml:space="preserve"> </w:t>
      </w:r>
      <w:r w:rsidRPr="00C23379">
        <w:t>je možno podat v pracovní dny po dom</w:t>
      </w:r>
      <w:r w:rsidR="00DE3D5F" w:rsidRPr="00C23379">
        <w:t>luvě termínu s řešitelem na telefonním čísle</w:t>
      </w:r>
      <w:r w:rsidRPr="00C23379">
        <w:t xml:space="preserve"> </w:t>
      </w:r>
      <w:r w:rsidR="00DE3D5F" w:rsidRPr="00C23379">
        <w:t>+</w:t>
      </w:r>
      <w:r w:rsidRPr="00C23379">
        <w:rPr>
          <w:color w:val="auto"/>
        </w:rPr>
        <w:t>420</w:t>
      </w:r>
      <w:r w:rsidR="00DE3D5F" w:rsidRPr="00C23379">
        <w:rPr>
          <w:color w:val="auto"/>
        </w:rPr>
        <w:t xml:space="preserve"> 499 857 </w:t>
      </w:r>
      <w:r w:rsidR="003D5661" w:rsidRPr="00C23379">
        <w:rPr>
          <w:color w:val="auto"/>
        </w:rPr>
        <w:t>248</w:t>
      </w:r>
      <w:r w:rsidRPr="00C23379">
        <w:rPr>
          <w:color w:val="auto"/>
        </w:rPr>
        <w:t>.</w:t>
      </w:r>
      <w:r w:rsidRPr="00C23379">
        <w:rPr>
          <w:color w:val="FF0000"/>
        </w:rPr>
        <w:t xml:space="preserve"> </w:t>
      </w:r>
      <w:r w:rsidRPr="00C23379">
        <w:t xml:space="preserve">Oznámení </w:t>
      </w:r>
      <w:r w:rsidR="00DE3D5F" w:rsidRPr="00C23379">
        <w:t>bude</w:t>
      </w:r>
      <w:r w:rsidRPr="00C23379">
        <w:t xml:space="preserve"> sepsáno do záznamu</w:t>
      </w:r>
      <w:r w:rsidR="00DE3D5F" w:rsidRPr="00C23379">
        <w:t>, následně bude oznamovatelem zkontrolováno</w:t>
      </w:r>
      <w:r w:rsidRPr="00C23379">
        <w:t>,</w:t>
      </w:r>
      <w:r w:rsidR="00DE3D5F" w:rsidRPr="00C23379">
        <w:t xml:space="preserve"> schváleno a podepsáno oznamovatelem.</w:t>
      </w:r>
    </w:p>
    <w:p w14:paraId="7AE6D866" w14:textId="77777777" w:rsidR="004B0801" w:rsidRPr="00C23379" w:rsidRDefault="001204FE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rPr>
          <w:rStyle w:val="Zkladntext2Tun0"/>
          <w:b w:val="0"/>
          <w:u w:val="none"/>
        </w:rPr>
        <w:t>O</w:t>
      </w:r>
      <w:r w:rsidR="00607225" w:rsidRPr="00C23379">
        <w:rPr>
          <w:rStyle w:val="Zkladntext2Tun0"/>
          <w:b w:val="0"/>
          <w:u w:val="none"/>
        </w:rPr>
        <w:t>známení</w:t>
      </w:r>
      <w:r w:rsidR="00607225" w:rsidRPr="00C23379">
        <w:rPr>
          <w:rStyle w:val="Zkladntext2Tun"/>
          <w:b w:val="0"/>
        </w:rPr>
        <w:t xml:space="preserve"> </w:t>
      </w:r>
      <w:r w:rsidR="00607225" w:rsidRPr="00C23379">
        <w:t xml:space="preserve">lze učinit </w:t>
      </w:r>
      <w:r w:rsidRPr="00C23379">
        <w:t>i telefonicky</w:t>
      </w:r>
      <w:r w:rsidR="00607225" w:rsidRPr="00C23379">
        <w:t xml:space="preserve">. Telefonický hovor není zaznamenáván. O telefonicky podaném oznámení bude sepsán záznam, </w:t>
      </w:r>
      <w:r w:rsidRPr="00C23379">
        <w:t>následně bude záznam doslovně přečten oznamovateli, který ho schválí.</w:t>
      </w:r>
      <w:r w:rsidR="0066568C" w:rsidRPr="00C23379">
        <w:t xml:space="preserve"> Následně má oznamovatel možnost se osobně dos</w:t>
      </w:r>
      <w:r w:rsidR="00DC46D0" w:rsidRPr="00C23379">
        <w:t xml:space="preserve">tavit a </w:t>
      </w:r>
      <w:r w:rsidR="00DC46D0" w:rsidRPr="00C23379">
        <w:lastRenderedPageBreak/>
        <w:t>sepsaný záznam podepsat, případně k němu doplnit své písemné vyjádření.</w:t>
      </w:r>
    </w:p>
    <w:p w14:paraId="0508C010" w14:textId="77777777" w:rsidR="004B0801" w:rsidRPr="00C23379" w:rsidRDefault="004B0801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>Oznamovatel může podat podání do schránky určené pro písemná podání umístěné</w:t>
      </w:r>
      <w:r w:rsidR="00607225" w:rsidRPr="00C23379">
        <w:rPr>
          <w:color w:val="auto"/>
        </w:rPr>
        <w:t xml:space="preserve"> </w:t>
      </w:r>
      <w:r w:rsidR="00160F53" w:rsidRPr="00C23379">
        <w:rPr>
          <w:color w:val="auto"/>
        </w:rPr>
        <w:t>na rohu budovy soudu v Nádražní ulici (u kamenného zábradlí vedoucího k Horní promenádě</w:t>
      </w:r>
      <w:r w:rsidR="00AC2B3D" w:rsidRPr="00C23379">
        <w:rPr>
          <w:color w:val="auto"/>
        </w:rPr>
        <w:t>)</w:t>
      </w:r>
      <w:r w:rsidR="002108E1" w:rsidRPr="00C23379">
        <w:rPr>
          <w:color w:val="auto"/>
        </w:rPr>
        <w:t>.</w:t>
      </w:r>
    </w:p>
    <w:p w14:paraId="3BBCD4CB" w14:textId="77777777" w:rsidR="00C71262" w:rsidRPr="00C23379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Osobou příslušnou pro přijímání, prošetřování, posouzení a navrhování opatření k nápravě protiprávního jednání (řešitel) byla pověřena </w:t>
      </w:r>
      <w:r w:rsidR="003D5661" w:rsidRPr="00C23379">
        <w:rPr>
          <w:color w:val="auto"/>
        </w:rPr>
        <w:t>JUDr. Jiří Vošvrda, v případě jeho</w:t>
      </w:r>
      <w:r w:rsidR="004B0801" w:rsidRPr="00C23379">
        <w:rPr>
          <w:color w:val="auto"/>
        </w:rPr>
        <w:t xml:space="preserve"> nepřítomnosti</w:t>
      </w:r>
      <w:r w:rsidRPr="00C23379">
        <w:rPr>
          <w:color w:val="auto"/>
        </w:rPr>
        <w:t xml:space="preserve"> Mgr.</w:t>
      </w:r>
      <w:r w:rsidR="00656EC4" w:rsidRPr="00C23379">
        <w:rPr>
          <w:color w:val="auto"/>
        </w:rPr>
        <w:t xml:space="preserve"> Kateřina Macková</w:t>
      </w:r>
      <w:r w:rsidRPr="00C23379">
        <w:rPr>
          <w:color w:val="auto"/>
        </w:rPr>
        <w:t>.</w:t>
      </w:r>
    </w:p>
    <w:p w14:paraId="563C4550" w14:textId="77777777" w:rsidR="00C71262" w:rsidRPr="00C23379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  <w:rPr>
          <w:rStyle w:val="Zkladntext2Tun"/>
          <w:b w:val="0"/>
          <w:bCs w:val="0"/>
        </w:rPr>
      </w:pPr>
      <w:r w:rsidRPr="00C23379">
        <w:t>Okresní soud v Trutnově</w:t>
      </w:r>
      <w:r w:rsidRPr="00C23379">
        <w:rPr>
          <w:rStyle w:val="Zkladntext2Tun"/>
          <w:b w:val="0"/>
        </w:rPr>
        <w:t xml:space="preserve"> </w:t>
      </w:r>
      <w:r w:rsidRPr="00C23379">
        <w:t xml:space="preserve">si na základě odst. </w:t>
      </w:r>
      <w:r w:rsidRPr="00C23379">
        <w:rPr>
          <w:rStyle w:val="Zkladntext2Tun"/>
          <w:b w:val="0"/>
        </w:rPr>
        <w:t xml:space="preserve">34 </w:t>
      </w:r>
      <w:r w:rsidRPr="00C23379">
        <w:t xml:space="preserve">preambule Směrnice vyhrazuje možnost </w:t>
      </w:r>
      <w:r w:rsidR="00ED5239" w:rsidRPr="00C23379">
        <w:rPr>
          <w:rStyle w:val="Zkladntext2Tun"/>
          <w:b w:val="0"/>
        </w:rPr>
        <w:t>k anonymním podáním nepřihlížet</w:t>
      </w:r>
      <w:r w:rsidRPr="00C23379">
        <w:rPr>
          <w:rStyle w:val="Zkladntext2Tun"/>
          <w:b w:val="0"/>
        </w:rPr>
        <w:t>.</w:t>
      </w:r>
    </w:p>
    <w:p w14:paraId="613BF889" w14:textId="77777777" w:rsidR="00C71262" w:rsidRPr="00C23379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Okresní soud v Trutnově </w:t>
      </w:r>
      <w:r w:rsidRPr="00C23379">
        <w:rPr>
          <w:rStyle w:val="Zkladntext2Tun"/>
          <w:b w:val="0"/>
        </w:rPr>
        <w:t xml:space="preserve">vylučuje přijetí oznámení od osob, </w:t>
      </w:r>
      <w:r w:rsidRPr="00C23379">
        <w:t>které nejsou zaměstnanci, nebo pro soud nevykonávají práci nebo obdobnou činnost, nebo nejsou osoby v obdobném postavení.</w:t>
      </w:r>
    </w:p>
    <w:p w14:paraId="54BA7DE1" w14:textId="77777777" w:rsidR="00B10F21" w:rsidRPr="00C23379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>Výše specifikovaná oznámení týkající se Okresního soudu v Trutnově je možno podat také externímu řešiteli Ministerstvu spravedlnosti Č</w:t>
      </w:r>
      <w:r w:rsidR="002659C4" w:rsidRPr="00C23379">
        <w:t xml:space="preserve">eské </w:t>
      </w:r>
      <w:proofErr w:type="gramStart"/>
      <w:r w:rsidRPr="00C23379">
        <w:t>R</w:t>
      </w:r>
      <w:r w:rsidR="002659C4" w:rsidRPr="00C23379">
        <w:t>epubliky</w:t>
      </w:r>
      <w:proofErr w:type="gramEnd"/>
      <w:r w:rsidR="002659C4" w:rsidRPr="00C23379">
        <w:t xml:space="preserve"> formou písemného podání</w:t>
      </w:r>
      <w:r w:rsidR="00B10F21" w:rsidRPr="00C23379">
        <w:t xml:space="preserve"> takto:</w:t>
      </w:r>
    </w:p>
    <w:p w14:paraId="117BFFFA" w14:textId="77777777" w:rsidR="00B10F21" w:rsidRPr="00C23379" w:rsidRDefault="00B10F21" w:rsidP="00B10F21">
      <w:pPr>
        <w:pStyle w:val="Zkladntext20"/>
        <w:numPr>
          <w:ilvl w:val="0"/>
          <w:numId w:val="5"/>
        </w:numPr>
        <w:shd w:val="clear" w:color="auto" w:fill="auto"/>
        <w:spacing w:after="0" w:line="240" w:lineRule="auto"/>
        <w:ind w:right="697" w:hanging="357"/>
        <w:jc w:val="both"/>
      </w:pPr>
      <w:r w:rsidRPr="00C23379">
        <w:t xml:space="preserve">písemně </w:t>
      </w:r>
      <w:r w:rsidR="002659C4" w:rsidRPr="00C23379">
        <w:t xml:space="preserve">na adresu </w:t>
      </w:r>
      <w:r w:rsidR="00607225" w:rsidRPr="00C23379">
        <w:t>Ministerstvo spravedlnosti Č</w:t>
      </w:r>
      <w:r w:rsidR="00D9239B" w:rsidRPr="00C23379">
        <w:t xml:space="preserve">eské </w:t>
      </w:r>
      <w:proofErr w:type="gramStart"/>
      <w:r w:rsidR="00607225" w:rsidRPr="00C23379">
        <w:t>R</w:t>
      </w:r>
      <w:r w:rsidR="00D9239B" w:rsidRPr="00C23379">
        <w:t>epubliky</w:t>
      </w:r>
      <w:proofErr w:type="gramEnd"/>
      <w:r w:rsidR="00607225" w:rsidRPr="00C23379">
        <w:t xml:space="preserve">, Vyšehradská 16, </w:t>
      </w:r>
      <w:r w:rsidRPr="00C23379">
        <w:t>128 10 Praha 2</w:t>
      </w:r>
      <w:r w:rsidR="00607225" w:rsidRPr="00C23379">
        <w:t xml:space="preserve">, </w:t>
      </w:r>
    </w:p>
    <w:p w14:paraId="5D17C820" w14:textId="1C833C88" w:rsidR="00B10F21" w:rsidRPr="00C23379" w:rsidRDefault="00607225" w:rsidP="00B10F21">
      <w:pPr>
        <w:pStyle w:val="Zkladntext20"/>
        <w:numPr>
          <w:ilvl w:val="0"/>
          <w:numId w:val="5"/>
        </w:numPr>
        <w:shd w:val="clear" w:color="auto" w:fill="auto"/>
        <w:spacing w:after="120" w:line="240" w:lineRule="auto"/>
        <w:ind w:right="697"/>
        <w:jc w:val="both"/>
      </w:pPr>
      <w:r w:rsidRPr="00C23379">
        <w:t>e-mailem</w:t>
      </w:r>
      <w:r w:rsidR="002659C4" w:rsidRPr="00C23379">
        <w:t xml:space="preserve"> na adresu</w:t>
      </w:r>
      <w:r w:rsidRPr="00C23379">
        <w:t xml:space="preserve"> </w:t>
      </w:r>
      <w:hyperlink r:id="rId8" w:history="1">
        <w:r w:rsidRPr="00C23379">
          <w:rPr>
            <w:rStyle w:val="Hypertextovodkaz"/>
          </w:rPr>
          <w:t>oznamovatel@msp.justice.cz</w:t>
        </w:r>
      </w:hyperlink>
      <w:r w:rsidR="00B10F21" w:rsidRPr="00C23379">
        <w:rPr>
          <w:rStyle w:val="Hypertextovodkaz"/>
        </w:rPr>
        <w:t>,</w:t>
      </w:r>
    </w:p>
    <w:p w14:paraId="74655734" w14:textId="77777777" w:rsidR="00B10F21" w:rsidRPr="00C23379" w:rsidRDefault="00607225" w:rsidP="00B10F21">
      <w:pPr>
        <w:pStyle w:val="Zkladntext20"/>
        <w:numPr>
          <w:ilvl w:val="0"/>
          <w:numId w:val="5"/>
        </w:numPr>
        <w:shd w:val="clear" w:color="auto" w:fill="auto"/>
        <w:spacing w:after="120" w:line="240" w:lineRule="auto"/>
        <w:ind w:right="697"/>
        <w:jc w:val="both"/>
      </w:pPr>
      <w:r w:rsidRPr="00C23379">
        <w:t>telefonicky</w:t>
      </w:r>
      <w:r w:rsidR="001C2B10" w:rsidRPr="00C23379">
        <w:t xml:space="preserve"> na telefonním čísle +</w:t>
      </w:r>
      <w:r w:rsidRPr="00C23379">
        <w:t>420 221 997</w:t>
      </w:r>
      <w:r w:rsidR="00B10F21" w:rsidRPr="00C23379">
        <w:t> </w:t>
      </w:r>
      <w:r w:rsidRPr="00C23379">
        <w:t>840</w:t>
      </w:r>
      <w:r w:rsidR="00B10F21" w:rsidRPr="00C23379">
        <w:t>.</w:t>
      </w:r>
    </w:p>
    <w:p w14:paraId="6ECF4F16" w14:textId="6AD44083" w:rsidR="00EB3A9C" w:rsidRPr="00C23379" w:rsidRDefault="00607225" w:rsidP="00B10F21">
      <w:pPr>
        <w:pStyle w:val="Zkladntext20"/>
        <w:shd w:val="clear" w:color="auto" w:fill="auto"/>
        <w:spacing w:after="120" w:line="240" w:lineRule="auto"/>
        <w:ind w:left="426" w:right="697"/>
        <w:jc w:val="both"/>
      </w:pPr>
      <w:r w:rsidRPr="00C23379">
        <w:t xml:space="preserve">Podrobnosti </w:t>
      </w:r>
      <w:r w:rsidR="00D9239B" w:rsidRPr="00C23379">
        <w:t>podání externímu řešiteli jsou uvedeny na webové stránce Ministerstva spravedlnosti České republiky</w:t>
      </w:r>
      <w:r w:rsidRPr="00C23379">
        <w:t xml:space="preserve"> </w:t>
      </w:r>
      <w:hyperlink r:id="rId9" w:history="1">
        <w:r w:rsidR="0053334E" w:rsidRPr="00C23379">
          <w:rPr>
            <w:rStyle w:val="Hypertextovodkaz"/>
          </w:rPr>
          <w:t>https://oznamovatel.justice.cz/chci-podat-oznameni/</w:t>
        </w:r>
      </w:hyperlink>
      <w:r w:rsidR="0053334E" w:rsidRPr="00C23379">
        <w:t>.</w:t>
      </w:r>
    </w:p>
    <w:p w14:paraId="221A0019" w14:textId="1DDE2805" w:rsidR="00EB3A9C" w:rsidRPr="00C23379" w:rsidRDefault="00EB3A9C" w:rsidP="00EB3A9C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Další informace k ochraně oznamovatelů lze najít na specializovaném webu </w:t>
      </w:r>
      <w:hyperlink r:id="rId10" w:history="1">
        <w:r w:rsidRPr="00C23379">
          <w:rPr>
            <w:rStyle w:val="Hypertextovodkaz"/>
          </w:rPr>
          <w:t>https://oznamovatel.justice.cz/</w:t>
        </w:r>
      </w:hyperlink>
      <w:r w:rsidRPr="00C23379">
        <w:t xml:space="preserve">. </w:t>
      </w:r>
    </w:p>
    <w:p w14:paraId="5A82715C" w14:textId="77777777" w:rsidR="003224C1" w:rsidRPr="00C23379" w:rsidRDefault="00B10F21" w:rsidP="00245F25">
      <w:pPr>
        <w:pStyle w:val="Nadpis2"/>
      </w:pPr>
      <w:bookmarkStart w:id="6" w:name="bookmark2"/>
      <w:r w:rsidRPr="00C23379">
        <w:br/>
      </w:r>
      <w:bookmarkStart w:id="7" w:name="_Toc144204110"/>
      <w:r w:rsidR="00607225" w:rsidRPr="00C23379">
        <w:t>Postupy po podání oznámení</w:t>
      </w:r>
      <w:bookmarkEnd w:id="6"/>
      <w:bookmarkEnd w:id="7"/>
    </w:p>
    <w:p w14:paraId="5943ABB0" w14:textId="77777777" w:rsidR="00303B0E" w:rsidRPr="00C23379" w:rsidRDefault="00607225" w:rsidP="00EB3E3D">
      <w:pPr>
        <w:pStyle w:val="Zkladntext20"/>
        <w:numPr>
          <w:ilvl w:val="0"/>
          <w:numId w:val="6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>Ve lhůtě sedmi dnů od přijetí oznámení je oznamovateli potvrzeno přijetí oznámení</w:t>
      </w:r>
      <w:r w:rsidR="004A1C85" w:rsidRPr="00C23379">
        <w:t>,</w:t>
      </w:r>
      <w:r w:rsidR="00303B0E" w:rsidRPr="00C23379">
        <w:t xml:space="preserve"> </w:t>
      </w:r>
      <w:r w:rsidR="00871D1A" w:rsidRPr="00C23379">
        <w:t>ledaže</w:t>
      </w:r>
      <w:r w:rsidRPr="00C23379">
        <w:t xml:space="preserve"> ve svém oznámení výslovně nesdělí, že na potvrzení přijetí netrvá. Skutečnosti uvedené v</w:t>
      </w:r>
      <w:r w:rsidR="00871D1A" w:rsidRPr="00C23379">
        <w:t> </w:t>
      </w:r>
      <w:r w:rsidRPr="00C23379">
        <w:t>oznámení jsou prověřovány formou interního šetření, oznamovatel může být požádán o objasnění sdělených informací, nebo o poskytnutí dodatečných informací. V průběhu šetření mohou být provedena dílčí opatření k zabránění pokračování v nezákonné činnosti.</w:t>
      </w:r>
    </w:p>
    <w:p w14:paraId="141E73E7" w14:textId="77777777" w:rsidR="004A1C85" w:rsidRPr="00C23379" w:rsidRDefault="00607225" w:rsidP="00EB3E3D">
      <w:pPr>
        <w:pStyle w:val="Zkladntext20"/>
        <w:numPr>
          <w:ilvl w:val="0"/>
          <w:numId w:val="6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Posouzení podání bude provedeno </w:t>
      </w:r>
      <w:r w:rsidR="00871D1A" w:rsidRPr="00C23379">
        <w:t xml:space="preserve">ve lhůtě </w:t>
      </w:r>
      <w:r w:rsidRPr="00C23379">
        <w:t>do třiceti dnů od podání. V případě složitějšího šetření může být lhůta</w:t>
      </w:r>
      <w:r w:rsidR="00871D1A" w:rsidRPr="00C23379">
        <w:t xml:space="preserve"> až dvakrát prodloužena</w:t>
      </w:r>
      <w:r w:rsidRPr="00C23379">
        <w:t xml:space="preserve"> vždy o dalších 30 dnů. Oznamovatel obdrží v</w:t>
      </w:r>
      <w:r w:rsidR="00871D1A" w:rsidRPr="00C23379">
        <w:t> </w:t>
      </w:r>
      <w:r w:rsidRPr="00C23379">
        <w:t>uvedené lhůtě písemný výsledek posouzení a informaci o případných přijatých opatřeních.</w:t>
      </w:r>
    </w:p>
    <w:p w14:paraId="6F512D25" w14:textId="77777777" w:rsidR="00871E57" w:rsidRPr="00C23379" w:rsidRDefault="00871E57" w:rsidP="00245F25">
      <w:pPr>
        <w:pStyle w:val="Nadpis2"/>
      </w:pPr>
      <w:r w:rsidRPr="00C23379">
        <w:br/>
      </w:r>
      <w:bookmarkStart w:id="8" w:name="_Toc144204111"/>
      <w:r w:rsidRPr="00C23379">
        <w:t>Důvodnost podání</w:t>
      </w:r>
      <w:bookmarkEnd w:id="8"/>
    </w:p>
    <w:p w14:paraId="183DE88B" w14:textId="77777777" w:rsidR="00D73D30" w:rsidRPr="00C23379" w:rsidRDefault="00607225" w:rsidP="00D73D30">
      <w:pPr>
        <w:pStyle w:val="Zkladntext20"/>
        <w:numPr>
          <w:ilvl w:val="0"/>
          <w:numId w:val="8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Pokud bude podání posouzeno jako důvodné, Okresní soud v Trutnově bude řešitelem vyzván k nápravě. </w:t>
      </w:r>
    </w:p>
    <w:p w14:paraId="1A0ED8F7" w14:textId="77777777" w:rsidR="003224C1" w:rsidRPr="00C23379" w:rsidRDefault="00607225" w:rsidP="00D73D30">
      <w:pPr>
        <w:pStyle w:val="Zkladntext20"/>
        <w:numPr>
          <w:ilvl w:val="0"/>
          <w:numId w:val="8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>Pokud bude podání posouzeno jako nedůvodné, ale porušující jiná pravidla, bude oznamovatel písemně odkázán na příslušnou možnost nápravy.</w:t>
      </w:r>
    </w:p>
    <w:p w14:paraId="46A6459C" w14:textId="77777777" w:rsidR="003224C1" w:rsidRPr="00C23379" w:rsidRDefault="004A1C85" w:rsidP="00245F25">
      <w:pPr>
        <w:pStyle w:val="Nadpis2"/>
      </w:pPr>
      <w:bookmarkStart w:id="9" w:name="bookmark3"/>
      <w:r w:rsidRPr="00C23379">
        <w:br/>
      </w:r>
      <w:bookmarkStart w:id="10" w:name="_Toc144204112"/>
      <w:bookmarkEnd w:id="9"/>
      <w:r w:rsidR="00C4470B" w:rsidRPr="00C23379">
        <w:t>Odvetná opatření a prostředky nápravy</w:t>
      </w:r>
      <w:bookmarkEnd w:id="10"/>
    </w:p>
    <w:p w14:paraId="73C94F41" w14:textId="77777777" w:rsidR="00871E57" w:rsidRPr="00C23379" w:rsidRDefault="00607225" w:rsidP="00EB3E3D">
      <w:pPr>
        <w:pStyle w:val="Zkladntext20"/>
        <w:numPr>
          <w:ilvl w:val="0"/>
          <w:numId w:val="7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rPr>
          <w:rStyle w:val="Zkladntext2Tun"/>
          <w:b w:val="0"/>
        </w:rPr>
        <w:t xml:space="preserve">Vůči oznamovateli je výslovně zakázáno uplatňovat odvetná opatření. </w:t>
      </w:r>
      <w:r w:rsidRPr="00C23379">
        <w:t>Pokud by byl tento zákaz porušen a došlo k postižení oznamovatele odvetnými opatřeními, může využít prostředky nápravy, např. pracovně práv</w:t>
      </w:r>
      <w:r w:rsidR="00C4470B" w:rsidRPr="00C23379">
        <w:t>ní žaloba o neplatnost výpovědi</w:t>
      </w:r>
      <w:r w:rsidRPr="00C23379">
        <w:t xml:space="preserve"> v případě předchozího propuštění, neplatnost přeložení nebo přeložení na nižší pozici, náhrada za ztrátu příjmů v budoucnu, náhrada nákladů spojených se změnou povolání, náhrada za jiné ekonomické újmy, jako jsou </w:t>
      </w:r>
      <w:r w:rsidRPr="00C23379">
        <w:lastRenderedPageBreak/>
        <w:t xml:space="preserve">výdaje na právní ochranu a náklady na lékařské ošetření, a za nemateriální újmu (podrobněji </w:t>
      </w:r>
      <w:r w:rsidR="00C4470B" w:rsidRPr="00C23379">
        <w:t>je uvedeno v </w:t>
      </w:r>
      <w:r w:rsidRPr="00C23379">
        <w:t>čl</w:t>
      </w:r>
      <w:r w:rsidR="00C4470B" w:rsidRPr="00C23379">
        <w:t xml:space="preserve">áncích č. 19 - </w:t>
      </w:r>
      <w:r w:rsidRPr="00C23379">
        <w:t>24 Směrnice).</w:t>
      </w:r>
    </w:p>
    <w:p w14:paraId="0CF26BCD" w14:textId="77777777" w:rsidR="003224C1" w:rsidRPr="00C23379" w:rsidRDefault="00607225" w:rsidP="00EB3E3D">
      <w:pPr>
        <w:pStyle w:val="Zkladntext20"/>
        <w:numPr>
          <w:ilvl w:val="0"/>
          <w:numId w:val="7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>Oznamovatel má podle zákona právo na zadostiučinění, pokud mu byla odvetou způsobena škoda.</w:t>
      </w:r>
    </w:p>
    <w:p w14:paraId="4B1E3C43" w14:textId="77777777" w:rsidR="003224C1" w:rsidRPr="00C23379" w:rsidRDefault="00425564" w:rsidP="00245F25">
      <w:pPr>
        <w:pStyle w:val="Nadpis2"/>
      </w:pPr>
      <w:bookmarkStart w:id="11" w:name="bookmark4"/>
      <w:r w:rsidRPr="00C23379">
        <w:br/>
      </w:r>
      <w:bookmarkStart w:id="12" w:name="_Toc144204113"/>
      <w:r w:rsidR="00607225" w:rsidRPr="00C23379">
        <w:t>Zpracování osobních údajů a způsob zachování režimu důvěrnosti</w:t>
      </w:r>
      <w:bookmarkEnd w:id="11"/>
      <w:bookmarkEnd w:id="12"/>
    </w:p>
    <w:p w14:paraId="61FAB74C" w14:textId="3CEB3EF4" w:rsidR="00B1166A" w:rsidRPr="00C23379" w:rsidRDefault="00607225" w:rsidP="00081F3D">
      <w:pPr>
        <w:pStyle w:val="Zkladntext20"/>
        <w:numPr>
          <w:ilvl w:val="0"/>
          <w:numId w:val="10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 xml:space="preserve">Důvěrnost informací obsažených v oznámení oznamovatele je zajištěna zavedením vnitřního oznamovacího systému, oznámení zpracovává výhradně </w:t>
      </w:r>
      <w:r w:rsidR="001646C7" w:rsidRPr="00C23379">
        <w:t>určená osoba řešitele a jeho zástupce</w:t>
      </w:r>
      <w:r w:rsidRPr="00C23379">
        <w:t xml:space="preserve">. Řešitel </w:t>
      </w:r>
      <w:r w:rsidR="00C07A57" w:rsidRPr="00C23379">
        <w:t xml:space="preserve">a jeho zástupce </w:t>
      </w:r>
      <w:r w:rsidRPr="00C23379">
        <w:t>byl</w:t>
      </w:r>
      <w:r w:rsidR="00C07A57" w:rsidRPr="00C23379">
        <w:t>i</w:t>
      </w:r>
      <w:r w:rsidRPr="00C23379">
        <w:t xml:space="preserve"> poučen</w:t>
      </w:r>
      <w:r w:rsidR="00C07A57" w:rsidRPr="00C23379">
        <w:t>i</w:t>
      </w:r>
      <w:r w:rsidRPr="00C23379">
        <w:t xml:space="preserve"> o svých právech a povinnostech. Listinné dokumenty související s touto agendou jsou proti vniknutí zabezpečeny mechanickými prostředky. Elektronická komunikace prostřednictvím e-mailové adresy </w:t>
      </w:r>
      <w:hyperlink r:id="rId11" w:history="1">
        <w:r w:rsidR="0038002D" w:rsidRPr="00C23379">
          <w:rPr>
            <w:rStyle w:val="Hypertextovodkaz"/>
          </w:rPr>
          <w:t>whistleblowing@osoud.tru.justice.cz</w:t>
        </w:r>
      </w:hyperlink>
      <w:r w:rsidRPr="00C23379">
        <w:rPr>
          <w:color w:val="FF0000"/>
          <w:lang w:eastAsia="en-US" w:bidi="en-US"/>
        </w:rPr>
        <w:t xml:space="preserve"> </w:t>
      </w:r>
      <w:r w:rsidRPr="00C23379">
        <w:t>je řádně zabezpečena a přístup do ní má výhradně řešitel</w:t>
      </w:r>
      <w:r w:rsidR="0038002D" w:rsidRPr="00C23379">
        <w:t xml:space="preserve"> a jeho zástupce</w:t>
      </w:r>
      <w:r w:rsidRPr="00C23379">
        <w:t>. Po celou dobu šetření i po jeho ukončení je chráněna důvěrnost a totožnost oznamovatele.</w:t>
      </w:r>
    </w:p>
    <w:p w14:paraId="6A56BA18" w14:textId="77777777" w:rsidR="0038002D" w:rsidRPr="00C23379" w:rsidRDefault="00607225" w:rsidP="00081F3D">
      <w:pPr>
        <w:pStyle w:val="Zkladntext20"/>
        <w:numPr>
          <w:ilvl w:val="0"/>
          <w:numId w:val="10"/>
        </w:numPr>
        <w:shd w:val="clear" w:color="auto" w:fill="auto"/>
        <w:spacing w:after="120" w:line="240" w:lineRule="auto"/>
        <w:ind w:left="284" w:right="697"/>
        <w:jc w:val="both"/>
        <w:rPr>
          <w:rStyle w:val="Zkladntext3Netun"/>
          <w:b w:val="0"/>
          <w:bCs w:val="0"/>
        </w:rPr>
      </w:pPr>
      <w:r w:rsidRPr="00C23379">
        <w:t xml:space="preserve">Okresní soud v Trutnově ve smyslu § 7 zákona a čl. 13 písm. g) směrnice prohlašuje, že oznamovatel nenese za své oznámení odpovědnost, </w:t>
      </w:r>
      <w:r w:rsidRPr="00C23379">
        <w:rPr>
          <w:rStyle w:val="Zkladntext3Netun"/>
          <w:b w:val="0"/>
        </w:rPr>
        <w:t>avšak jen v případě, že měl oprávněné důvody se domnívat, že jím oznamované skutečnosti jsou pravdivé.</w:t>
      </w:r>
    </w:p>
    <w:p w14:paraId="1C2E229B" w14:textId="77777777" w:rsidR="0038002D" w:rsidRPr="00C23379" w:rsidRDefault="00607225" w:rsidP="00081F3D">
      <w:pPr>
        <w:pStyle w:val="Zkladntext20"/>
        <w:numPr>
          <w:ilvl w:val="0"/>
          <w:numId w:val="10"/>
        </w:numPr>
        <w:shd w:val="clear" w:color="auto" w:fill="auto"/>
        <w:spacing w:after="120" w:line="240" w:lineRule="auto"/>
        <w:ind w:left="284" w:right="697"/>
        <w:jc w:val="both"/>
      </w:pPr>
      <w:r w:rsidRPr="00C23379">
        <w:t>Ochranu nelze poskytovat oznamovatelům podávajícím vědomě nepravdivé, zlovolné oznámení. Podle § 23 zákona se tím taková osoba dopustí přestupku a může jí být uložena pokuta do výše 50.000 Kč.</w:t>
      </w:r>
    </w:p>
    <w:p w14:paraId="30F25FC3" w14:textId="77777777" w:rsidR="003B2427" w:rsidRPr="00C23379" w:rsidRDefault="003B2427" w:rsidP="00245F25">
      <w:pPr>
        <w:pStyle w:val="Nadpis2"/>
      </w:pPr>
      <w:r w:rsidRPr="00C23379">
        <w:br/>
      </w:r>
      <w:bookmarkStart w:id="13" w:name="_Toc144204114"/>
      <w:r w:rsidRPr="00C23379">
        <w:t>Účinnost</w:t>
      </w:r>
      <w:bookmarkEnd w:id="13"/>
    </w:p>
    <w:p w14:paraId="5D50924E" w14:textId="77777777" w:rsidR="003224C1" w:rsidRPr="00C23379" w:rsidRDefault="00607225" w:rsidP="00FE2032">
      <w:pPr>
        <w:pStyle w:val="Zkladntext20"/>
        <w:numPr>
          <w:ilvl w:val="0"/>
          <w:numId w:val="11"/>
        </w:numPr>
        <w:shd w:val="clear" w:color="auto" w:fill="auto"/>
        <w:spacing w:after="120" w:line="240" w:lineRule="auto"/>
        <w:ind w:left="284" w:right="697"/>
        <w:jc w:val="both"/>
        <w:rPr>
          <w:color w:val="auto"/>
        </w:rPr>
      </w:pPr>
      <w:r w:rsidRPr="00C23379">
        <w:t xml:space="preserve">Tento vnitřní předpis nabývá účinnosti </w:t>
      </w:r>
      <w:r w:rsidRPr="00C23379">
        <w:rPr>
          <w:color w:val="auto"/>
        </w:rPr>
        <w:t xml:space="preserve">dnem </w:t>
      </w:r>
      <w:r w:rsidR="00D37B05" w:rsidRPr="00C23379">
        <w:rPr>
          <w:color w:val="auto"/>
        </w:rPr>
        <w:t>29. 8. 2023</w:t>
      </w:r>
      <w:r w:rsidRPr="00C23379">
        <w:rPr>
          <w:color w:val="auto"/>
        </w:rPr>
        <w:t>.</w:t>
      </w:r>
    </w:p>
    <w:p w14:paraId="7709ABB3" w14:textId="77777777" w:rsidR="00B2719C" w:rsidRPr="00C23379" w:rsidRDefault="00B2719C" w:rsidP="00FE2032">
      <w:pPr>
        <w:pStyle w:val="Zkladntext20"/>
        <w:numPr>
          <w:ilvl w:val="0"/>
          <w:numId w:val="11"/>
        </w:numPr>
        <w:shd w:val="clear" w:color="auto" w:fill="auto"/>
        <w:spacing w:after="120" w:line="240" w:lineRule="auto"/>
        <w:ind w:left="284" w:right="697"/>
        <w:jc w:val="both"/>
        <w:rPr>
          <w:color w:val="auto"/>
        </w:rPr>
      </w:pPr>
      <w:r w:rsidRPr="00C23379">
        <w:rPr>
          <w:color w:val="auto"/>
        </w:rPr>
        <w:t xml:space="preserve">Tímto vnitřním předpisem se ruší Příloha č. 1 Protikorupčního programu Okresního soudu v Trutnově </w:t>
      </w:r>
      <w:proofErr w:type="spellStart"/>
      <w:r w:rsidRPr="00C23379">
        <w:rPr>
          <w:color w:val="auto"/>
        </w:rPr>
        <w:t>Spr</w:t>
      </w:r>
      <w:proofErr w:type="spellEnd"/>
      <w:r w:rsidRPr="00C23379">
        <w:rPr>
          <w:color w:val="auto"/>
        </w:rPr>
        <w:t xml:space="preserve"> 149/2022 ze dne 8. 2. 2022.</w:t>
      </w:r>
    </w:p>
    <w:p w14:paraId="490CEB69" w14:textId="77777777" w:rsidR="00B2719C" w:rsidRPr="00C23379" w:rsidRDefault="00B2719C" w:rsidP="00EB3E3D">
      <w:pPr>
        <w:pStyle w:val="Zkladntext20"/>
        <w:shd w:val="clear" w:color="auto" w:fill="auto"/>
        <w:spacing w:after="120" w:line="240" w:lineRule="auto"/>
        <w:ind w:left="284" w:right="697"/>
        <w:jc w:val="both"/>
      </w:pPr>
    </w:p>
    <w:p w14:paraId="0FAFFEE1" w14:textId="77777777" w:rsidR="003224C1" w:rsidRPr="00C23379" w:rsidRDefault="00FE2032" w:rsidP="00FE2032">
      <w:pPr>
        <w:pStyle w:val="Zkladntext20"/>
        <w:shd w:val="clear" w:color="auto" w:fill="auto"/>
        <w:spacing w:after="0" w:line="240" w:lineRule="auto"/>
        <w:ind w:left="284" w:right="697"/>
        <w:jc w:val="both"/>
      </w:pPr>
      <w:r w:rsidRPr="00C23379">
        <w:t>Mgr. Miroslava Purkertová</w:t>
      </w:r>
    </w:p>
    <w:p w14:paraId="6DD1A825" w14:textId="77777777" w:rsidR="00FE2032" w:rsidRPr="00C23379" w:rsidRDefault="00FE2032" w:rsidP="00EB3E3D">
      <w:pPr>
        <w:pStyle w:val="Zkladntext20"/>
        <w:shd w:val="clear" w:color="auto" w:fill="auto"/>
        <w:spacing w:after="120" w:line="240" w:lineRule="auto"/>
        <w:ind w:left="284" w:right="697"/>
        <w:jc w:val="both"/>
      </w:pPr>
      <w:r w:rsidRPr="00C23379">
        <w:t>předsedkyně Okresního soudu v</w:t>
      </w:r>
      <w:r w:rsidR="00CF4007" w:rsidRPr="00C23379">
        <w:t> </w:t>
      </w:r>
      <w:r w:rsidRPr="00C23379">
        <w:t>Trutnově</w:t>
      </w:r>
    </w:p>
    <w:p w14:paraId="1F2C8C4E" w14:textId="77777777" w:rsidR="00CF4007" w:rsidRPr="00C23379" w:rsidRDefault="00CF4007" w:rsidP="00EB3E3D">
      <w:pPr>
        <w:pStyle w:val="Zkladntext20"/>
        <w:shd w:val="clear" w:color="auto" w:fill="auto"/>
        <w:spacing w:after="120" w:line="240" w:lineRule="auto"/>
        <w:ind w:left="284" w:right="697"/>
        <w:jc w:val="both"/>
      </w:pPr>
    </w:p>
    <w:p w14:paraId="0B0F3F5E" w14:textId="77777777" w:rsidR="00CF4007" w:rsidRPr="00C23379" w:rsidRDefault="00CF4007" w:rsidP="00EB3E3D">
      <w:pPr>
        <w:pStyle w:val="Zkladntext20"/>
        <w:shd w:val="clear" w:color="auto" w:fill="auto"/>
        <w:spacing w:after="120" w:line="240" w:lineRule="auto"/>
        <w:ind w:left="284" w:right="697"/>
        <w:jc w:val="both"/>
      </w:pPr>
    </w:p>
    <w:sectPr w:rsidR="00CF4007" w:rsidRPr="00C23379">
      <w:pgSz w:w="11900" w:h="16840"/>
      <w:pgMar w:top="1033" w:right="880" w:bottom="1222" w:left="12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3ABA" w14:textId="77777777" w:rsidR="00245F25" w:rsidRDefault="00245F25">
      <w:r>
        <w:separator/>
      </w:r>
    </w:p>
  </w:endnote>
  <w:endnote w:type="continuationSeparator" w:id="0">
    <w:p w14:paraId="62D26E09" w14:textId="77777777" w:rsidR="00245F25" w:rsidRDefault="0024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A1EB" w14:textId="77777777" w:rsidR="00245F25" w:rsidRDefault="00245F25"/>
  </w:footnote>
  <w:footnote w:type="continuationSeparator" w:id="0">
    <w:p w14:paraId="4B5B4E8D" w14:textId="77777777" w:rsidR="00245F25" w:rsidRDefault="00245F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11A"/>
    <w:multiLevelType w:val="hybridMultilevel"/>
    <w:tmpl w:val="64D4A8CC"/>
    <w:lvl w:ilvl="0" w:tplc="AB8833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640E16"/>
    <w:multiLevelType w:val="hybridMultilevel"/>
    <w:tmpl w:val="6200FE38"/>
    <w:lvl w:ilvl="0" w:tplc="0C92B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18575B"/>
    <w:multiLevelType w:val="hybridMultilevel"/>
    <w:tmpl w:val="ECF633A4"/>
    <w:lvl w:ilvl="0" w:tplc="1A8A80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384992"/>
    <w:multiLevelType w:val="hybridMultilevel"/>
    <w:tmpl w:val="723A8CD6"/>
    <w:lvl w:ilvl="0" w:tplc="F0767CF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82576A"/>
    <w:multiLevelType w:val="hybridMultilevel"/>
    <w:tmpl w:val="4738B5A6"/>
    <w:lvl w:ilvl="0" w:tplc="96084B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FA33CD"/>
    <w:multiLevelType w:val="hybridMultilevel"/>
    <w:tmpl w:val="D22EE28C"/>
    <w:lvl w:ilvl="0" w:tplc="BC76AEDA">
      <w:start w:val="1"/>
      <w:numFmt w:val="upperRoman"/>
      <w:pStyle w:val="Nadpis2"/>
      <w:lvlText w:val="Část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D37E0"/>
    <w:multiLevelType w:val="hybridMultilevel"/>
    <w:tmpl w:val="29506FD6"/>
    <w:lvl w:ilvl="0" w:tplc="0C92B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B624EE"/>
    <w:multiLevelType w:val="hybridMultilevel"/>
    <w:tmpl w:val="073AAF7C"/>
    <w:lvl w:ilvl="0" w:tplc="74E62B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131C21"/>
    <w:multiLevelType w:val="hybridMultilevel"/>
    <w:tmpl w:val="073AAF7C"/>
    <w:lvl w:ilvl="0" w:tplc="74E62B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99260E"/>
    <w:multiLevelType w:val="hybridMultilevel"/>
    <w:tmpl w:val="5B8A314C"/>
    <w:lvl w:ilvl="0" w:tplc="0844549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5F6E47B2"/>
    <w:multiLevelType w:val="hybridMultilevel"/>
    <w:tmpl w:val="6200FE38"/>
    <w:lvl w:ilvl="0" w:tplc="0C92B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3C04EFE"/>
    <w:multiLevelType w:val="hybridMultilevel"/>
    <w:tmpl w:val="6F00D95E"/>
    <w:lvl w:ilvl="0" w:tplc="8DE030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8360265">
    <w:abstractNumId w:val="5"/>
  </w:num>
  <w:num w:numId="2" w16cid:durableId="1539779998">
    <w:abstractNumId w:val="0"/>
  </w:num>
  <w:num w:numId="3" w16cid:durableId="1213620796">
    <w:abstractNumId w:val="11"/>
  </w:num>
  <w:num w:numId="4" w16cid:durableId="1865098815">
    <w:abstractNumId w:val="8"/>
  </w:num>
  <w:num w:numId="5" w16cid:durableId="1395354143">
    <w:abstractNumId w:val="9"/>
  </w:num>
  <w:num w:numId="6" w16cid:durableId="1427655539">
    <w:abstractNumId w:val="10"/>
  </w:num>
  <w:num w:numId="7" w16cid:durableId="1697660928">
    <w:abstractNumId w:val="4"/>
  </w:num>
  <w:num w:numId="8" w16cid:durableId="1617716185">
    <w:abstractNumId w:val="1"/>
  </w:num>
  <w:num w:numId="9" w16cid:durableId="400711406">
    <w:abstractNumId w:val="6"/>
  </w:num>
  <w:num w:numId="10" w16cid:durableId="321157333">
    <w:abstractNumId w:val="7"/>
  </w:num>
  <w:num w:numId="11" w16cid:durableId="1304695821">
    <w:abstractNumId w:val="3"/>
  </w:num>
  <w:num w:numId="12" w16cid:durableId="350381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whistleblowing.docx 2023/08/29 12:21:09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3224C1"/>
    <w:rsid w:val="000066D1"/>
    <w:rsid w:val="000404E1"/>
    <w:rsid w:val="00081F3D"/>
    <w:rsid w:val="000916F4"/>
    <w:rsid w:val="001204FE"/>
    <w:rsid w:val="00131423"/>
    <w:rsid w:val="00160F53"/>
    <w:rsid w:val="001646C7"/>
    <w:rsid w:val="001C2B10"/>
    <w:rsid w:val="001E0C16"/>
    <w:rsid w:val="002108E1"/>
    <w:rsid w:val="00245F25"/>
    <w:rsid w:val="002659C4"/>
    <w:rsid w:val="00290CCA"/>
    <w:rsid w:val="00295F28"/>
    <w:rsid w:val="002E08B3"/>
    <w:rsid w:val="00303B0E"/>
    <w:rsid w:val="003224C1"/>
    <w:rsid w:val="0035299C"/>
    <w:rsid w:val="00364E00"/>
    <w:rsid w:val="0038002D"/>
    <w:rsid w:val="003A4DFC"/>
    <w:rsid w:val="003B2427"/>
    <w:rsid w:val="003C176B"/>
    <w:rsid w:val="003D5661"/>
    <w:rsid w:val="003E1E6F"/>
    <w:rsid w:val="003F312D"/>
    <w:rsid w:val="004120B0"/>
    <w:rsid w:val="00416254"/>
    <w:rsid w:val="00425564"/>
    <w:rsid w:val="004A1C85"/>
    <w:rsid w:val="004B0801"/>
    <w:rsid w:val="004D2AC3"/>
    <w:rsid w:val="004D6E8E"/>
    <w:rsid w:val="00511CC6"/>
    <w:rsid w:val="0053334E"/>
    <w:rsid w:val="00607225"/>
    <w:rsid w:val="006336FF"/>
    <w:rsid w:val="00656EC4"/>
    <w:rsid w:val="0066568C"/>
    <w:rsid w:val="006B66CE"/>
    <w:rsid w:val="006E54FE"/>
    <w:rsid w:val="0078229A"/>
    <w:rsid w:val="007E5072"/>
    <w:rsid w:val="00871D1A"/>
    <w:rsid w:val="00871E57"/>
    <w:rsid w:val="00891B0E"/>
    <w:rsid w:val="009B6A35"/>
    <w:rsid w:val="00A93F33"/>
    <w:rsid w:val="00A97361"/>
    <w:rsid w:val="00AC2B3D"/>
    <w:rsid w:val="00B023BE"/>
    <w:rsid w:val="00B10F21"/>
    <w:rsid w:val="00B1166A"/>
    <w:rsid w:val="00B21A54"/>
    <w:rsid w:val="00B2719C"/>
    <w:rsid w:val="00C07A57"/>
    <w:rsid w:val="00C23379"/>
    <w:rsid w:val="00C4470B"/>
    <w:rsid w:val="00C71262"/>
    <w:rsid w:val="00CA15F0"/>
    <w:rsid w:val="00CE20D2"/>
    <w:rsid w:val="00CF4007"/>
    <w:rsid w:val="00D37B05"/>
    <w:rsid w:val="00D711E6"/>
    <w:rsid w:val="00D73D30"/>
    <w:rsid w:val="00D82C07"/>
    <w:rsid w:val="00D9239B"/>
    <w:rsid w:val="00D97716"/>
    <w:rsid w:val="00DC46D0"/>
    <w:rsid w:val="00DE3D5F"/>
    <w:rsid w:val="00DE6F41"/>
    <w:rsid w:val="00DF101E"/>
    <w:rsid w:val="00EB3A9C"/>
    <w:rsid w:val="00EB3E3D"/>
    <w:rsid w:val="00ED5239"/>
    <w:rsid w:val="00ED68BA"/>
    <w:rsid w:val="00EF173B"/>
    <w:rsid w:val="00F54EF7"/>
    <w:rsid w:val="00F62C5B"/>
    <w:rsid w:val="00F9029F"/>
    <w:rsid w:val="00F925E5"/>
    <w:rsid w:val="00FA0F24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9DA42"/>
  <w15:docId w15:val="{A2EAFE97-C03D-4717-8FA6-617D5E06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4162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245F25"/>
    <w:pPr>
      <w:keepNext/>
      <w:keepLines/>
      <w:numPr>
        <w:numId w:val="1"/>
      </w:numPr>
      <w:spacing w:before="240" w:after="120"/>
      <w:ind w:left="0" w:firstLine="709"/>
      <w:jc w:val="center"/>
      <w:outlineLvl w:val="1"/>
    </w:pPr>
    <w:rPr>
      <w:rFonts w:ascii="Garamond" w:eastAsiaTheme="majorEastAsia" w:hAnsi="Garamond" w:cstheme="majorBidi"/>
      <w:b/>
      <w:bCs/>
      <w:color w:val="auto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3F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Pr>
      <w:rFonts w:ascii="Garamond" w:eastAsia="Garamond" w:hAnsi="Garamond" w:cs="Garamon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0">
    <w:name w:val="Základní text (2) + 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0">
    <w:name w:val="Nadpis #3_"/>
    <w:basedOn w:val="Standardnpsmoodstavce"/>
    <w:link w:val="Nadpis31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Netun">
    <w:name w:val="Základní text (3) + Ne tučné"/>
    <w:basedOn w:val="Zkladntext3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Pr>
      <w:rFonts w:ascii="Garamond" w:eastAsia="Garamond" w:hAnsi="Garamond" w:cs="Garamond"/>
      <w:b w:val="0"/>
      <w:bCs w:val="0"/>
      <w:i/>
      <w:iCs/>
      <w:smallCaps w:val="0"/>
      <w:strike w:val="0"/>
      <w:spacing w:val="-70"/>
      <w:sz w:val="36"/>
      <w:szCs w:val="36"/>
      <w:u w:val="none"/>
    </w:rPr>
  </w:style>
  <w:style w:type="character" w:customStyle="1" w:styleId="Nadpis12">
    <w:name w:val="Nadpis #1"/>
    <w:basedOn w:val="Nadpis10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 w:line="0" w:lineRule="atLeast"/>
      <w:jc w:val="right"/>
    </w:pPr>
    <w:rPr>
      <w:rFonts w:ascii="Garamond" w:eastAsia="Garamond" w:hAnsi="Garamond" w:cs="Garamond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aramond" w:eastAsia="Garamond" w:hAnsi="Garamond" w:cs="Garamond"/>
      <w:sz w:val="16"/>
      <w:szCs w:val="16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before="780" w:after="240" w:line="317" w:lineRule="exact"/>
      <w:jc w:val="center"/>
      <w:outlineLvl w:val="1"/>
    </w:pPr>
    <w:rPr>
      <w:rFonts w:ascii="Garamond" w:eastAsia="Garamond" w:hAnsi="Garamond" w:cs="Garamond"/>
      <w:b/>
      <w:bCs/>
      <w:sz w:val="28"/>
      <w:szCs w:val="28"/>
    </w:rPr>
  </w:style>
  <w:style w:type="paragraph" w:customStyle="1" w:styleId="Nadpis31">
    <w:name w:val="Nadpis #3"/>
    <w:basedOn w:val="Normln"/>
    <w:link w:val="Nadpis30"/>
    <w:pPr>
      <w:shd w:val="clear" w:color="auto" w:fill="FFFFFF"/>
      <w:spacing w:after="300" w:line="0" w:lineRule="atLeast"/>
      <w:jc w:val="center"/>
      <w:outlineLvl w:val="2"/>
    </w:pPr>
    <w:rPr>
      <w:rFonts w:ascii="Garamond" w:eastAsia="Garamond" w:hAnsi="Garamond" w:cs="Garamond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266" w:lineRule="exact"/>
      <w:jc w:val="both"/>
    </w:pPr>
    <w:rPr>
      <w:rFonts w:ascii="Garamond" w:eastAsia="Garamond" w:hAnsi="Garamond" w:cs="Garamond"/>
      <w:b/>
      <w:bCs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300" w:line="0" w:lineRule="atLeast"/>
      <w:outlineLvl w:val="0"/>
    </w:pPr>
    <w:rPr>
      <w:rFonts w:ascii="Garamond" w:eastAsia="Garamond" w:hAnsi="Garamond" w:cs="Garamond"/>
      <w:i/>
      <w:iCs/>
      <w:spacing w:val="-70"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6072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22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072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225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245F25"/>
    <w:rPr>
      <w:rFonts w:ascii="Garamond" w:eastAsiaTheme="majorEastAsia" w:hAnsi="Garamond" w:cstheme="majorBidi"/>
      <w:b/>
      <w:bCs/>
      <w:sz w:val="28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871D1A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93F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416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16254"/>
    <w:pPr>
      <w:widowControl/>
      <w:spacing w:line="276" w:lineRule="auto"/>
      <w:outlineLvl w:val="9"/>
    </w:pPr>
    <w:rPr>
      <w:lang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416254"/>
    <w:pPr>
      <w:spacing w:after="100"/>
      <w:ind w:left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6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2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namovatel@msp.just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histleblowing@osoud.tru.jus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histleblowing@osoud.tru.justic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znamovatel.justi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znamovatel.justice.cz/chci-podat-oznamen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4</Pages>
  <Words>1611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Štočková Jitka</dc:creator>
  <cp:lastModifiedBy>Macková Kateřina Mgr.</cp:lastModifiedBy>
  <cp:revision>2</cp:revision>
  <cp:lastPrinted>2026-02-25T09:59:00Z</cp:lastPrinted>
  <dcterms:created xsi:type="dcterms:W3CDTF">2026-02-25T10:11:00Z</dcterms:created>
  <dcterms:modified xsi:type="dcterms:W3CDTF">2026-02-25T10:11:00Z</dcterms:modified>
</cp:coreProperties>
</file>