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E022" w14:textId="77777777" w:rsidR="00026943" w:rsidRPr="004F409E" w:rsidRDefault="00026943" w:rsidP="00026943">
      <w:pPr>
        <w:spacing w:after="0"/>
        <w:jc w:val="center"/>
        <w:rPr>
          <w:color w:val="000000"/>
          <w:szCs w:val="22"/>
        </w:rPr>
      </w:pPr>
      <w:r w:rsidRPr="004F409E">
        <w:rPr>
          <w:b/>
          <w:smallCaps/>
          <w:color w:val="000000"/>
          <w:sz w:val="32"/>
        </w:rPr>
        <w:t>Okresní soud ve Frýdku-Místku</w:t>
      </w:r>
      <w:r w:rsidRPr="004F409E">
        <w:rPr>
          <w:b/>
          <w:smallCaps/>
          <w:color w:val="000000"/>
          <w:sz w:val="28"/>
        </w:rPr>
        <w:t> </w:t>
      </w:r>
    </w:p>
    <w:p w14:paraId="7A9A2B13" w14:textId="77777777" w:rsidR="00026943" w:rsidRPr="004F409E" w:rsidRDefault="00026943" w:rsidP="00026943">
      <w:pPr>
        <w:pBdr>
          <w:bottom w:val="single" w:sz="4" w:space="1" w:color="auto"/>
        </w:pBdr>
        <w:spacing w:after="0"/>
        <w:jc w:val="center"/>
        <w:rPr>
          <w:b/>
          <w:smallCaps/>
          <w:color w:val="000000"/>
          <w:sz w:val="32"/>
        </w:rPr>
      </w:pPr>
      <w:r w:rsidRPr="004F409E">
        <w:rPr>
          <w:color w:val="000000"/>
        </w:rPr>
        <w:t> Na Poříčí 3206, 738 13</w:t>
      </w:r>
      <w:r w:rsidRPr="004F409E">
        <w:rPr>
          <w:color w:val="000000"/>
        </w:rPr>
        <w:t> </w:t>
      </w:r>
      <w:r w:rsidRPr="004F409E">
        <w:rPr>
          <w:color w:val="000000"/>
        </w:rPr>
        <w:t>Frýdek-Místek </w:t>
      </w:r>
    </w:p>
    <w:p w14:paraId="077376FC" w14:textId="77777777" w:rsidR="00026943" w:rsidRPr="004F409E" w:rsidRDefault="00026943" w:rsidP="00026943">
      <w:pPr>
        <w:spacing w:after="240"/>
        <w:jc w:val="center"/>
        <w:rPr>
          <w:color w:val="000000"/>
        </w:rPr>
      </w:pPr>
      <w:r w:rsidRPr="004F409E">
        <w:rPr>
          <w:color w:val="000000"/>
        </w:rPr>
        <w:t>tel.: 558411111, fax: 558 627 707, e-mail: podatelna@osoud.frm.justice.cz, IDDS nn4aera</w:t>
      </w:r>
    </w:p>
    <w:tbl>
      <w:tblPr>
        <w:tblW w:w="4950" w:type="pct"/>
        <w:tblCellMar>
          <w:top w:w="57" w:type="dxa"/>
          <w:bottom w:w="57" w:type="dxa"/>
        </w:tblCellMar>
        <w:tblLook w:val="04A0" w:firstRow="1" w:lastRow="0" w:firstColumn="1" w:lastColumn="0" w:noHBand="0" w:noVBand="1"/>
      </w:tblPr>
      <w:tblGrid>
        <w:gridCol w:w="2177"/>
        <w:gridCol w:w="2177"/>
        <w:gridCol w:w="4627"/>
      </w:tblGrid>
      <w:tr w:rsidR="00026943" w:rsidRPr="004F409E" w14:paraId="34BE2453" w14:textId="77777777" w:rsidTr="00D13F3C">
        <w:trPr>
          <w:trHeight w:val="227"/>
        </w:trPr>
        <w:tc>
          <w:tcPr>
            <w:tcW w:w="1212" w:type="pct"/>
            <w:tcMar>
              <w:top w:w="0" w:type="dxa"/>
              <w:left w:w="108" w:type="dxa"/>
              <w:bottom w:w="57" w:type="dxa"/>
              <w:right w:w="108" w:type="dxa"/>
            </w:tcMar>
            <w:vAlign w:val="center"/>
            <w:hideMark/>
          </w:tcPr>
          <w:p w14:paraId="73A8576B" w14:textId="77777777" w:rsidR="00026943" w:rsidRPr="004F409E" w:rsidRDefault="00026943" w:rsidP="00D13F3C">
            <w:pPr>
              <w:spacing w:line="254" w:lineRule="auto"/>
              <w:jc w:val="left"/>
              <w:rPr>
                <w:b/>
                <w:color w:val="000000"/>
                <w:kern w:val="2"/>
                <w:lang w:eastAsia="en-US"/>
                <w14:ligatures w14:val="standardContextual"/>
              </w:rPr>
            </w:pPr>
            <w:r w:rsidRPr="004F409E">
              <w:rPr>
                <w:b/>
                <w:color w:val="000000"/>
                <w:kern w:val="2"/>
                <w:lang w:eastAsia="en-US"/>
                <w14:ligatures w14:val="standardContextual"/>
              </w:rPr>
              <w:t>NAŠE ZNAČKA:</w:t>
            </w:r>
          </w:p>
        </w:tc>
        <w:tc>
          <w:tcPr>
            <w:tcW w:w="1212" w:type="pct"/>
            <w:tcBorders>
              <w:top w:val="nil"/>
              <w:left w:val="nil"/>
              <w:bottom w:val="nil"/>
              <w:right w:val="single" w:sz="4" w:space="0" w:color="auto"/>
            </w:tcBorders>
            <w:vAlign w:val="center"/>
            <w:hideMark/>
          </w:tcPr>
          <w:p w14:paraId="1C2E94B7" w14:textId="77777777" w:rsidR="00026943" w:rsidRPr="004F409E" w:rsidRDefault="00026943" w:rsidP="00D13F3C">
            <w:pPr>
              <w:pStyle w:val="Bezmezer"/>
              <w:spacing w:line="254" w:lineRule="auto"/>
              <w:ind w:firstLine="0"/>
              <w:jc w:val="left"/>
              <w:rPr>
                <w:rFonts w:ascii="Garamond" w:hAnsi="Garamond"/>
                <w:color w:val="000000"/>
                <w:kern w:val="2"/>
                <w:lang w:eastAsia="en-US"/>
                <w14:ligatures w14:val="standardContextual"/>
              </w:rPr>
            </w:pPr>
            <w:r w:rsidRPr="004F409E">
              <w:rPr>
                <w:rFonts w:ascii="Garamond" w:hAnsi="Garamond"/>
                <w:color w:val="000000"/>
                <w:kern w:val="2"/>
                <w:lang w:eastAsia="en-US"/>
                <w14:ligatures w14:val="standardContextual"/>
              </w:rPr>
              <w:t>0 Si 165/2024</w:t>
            </w:r>
          </w:p>
        </w:tc>
        <w:tc>
          <w:tcPr>
            <w:tcW w:w="2576" w:type="pct"/>
            <w:vMerge w:val="restart"/>
            <w:tcBorders>
              <w:top w:val="nil"/>
              <w:left w:val="single" w:sz="4" w:space="0" w:color="auto"/>
              <w:bottom w:val="nil"/>
              <w:right w:val="nil"/>
            </w:tcBorders>
            <w:hideMark/>
          </w:tcPr>
          <w:p w14:paraId="420BF93C" w14:textId="77777777" w:rsidR="00026943" w:rsidRPr="004F409E" w:rsidRDefault="00026943" w:rsidP="00D13F3C">
            <w:pPr>
              <w:spacing w:after="0" w:line="300" w:lineRule="exact"/>
              <w:jc w:val="left"/>
              <w:rPr>
                <w:color w:val="000000"/>
                <w:kern w:val="2"/>
                <w:lang w:eastAsia="en-US"/>
                <w14:ligatures w14:val="standardContextual"/>
              </w:rPr>
            </w:pPr>
            <w:r w:rsidRPr="004F409E">
              <w:rPr>
                <w:color w:val="000000"/>
                <w:kern w:val="2"/>
                <w:lang w:eastAsia="en-US"/>
                <w14:ligatures w14:val="standardContextual"/>
              </w:rPr>
              <w:t>Vážený pan</w:t>
            </w:r>
          </w:p>
          <w:p w14:paraId="60655AF2" w14:textId="3CE7FB68" w:rsidR="00026943" w:rsidRPr="004F409E" w:rsidRDefault="00026943" w:rsidP="00D13F3C">
            <w:pPr>
              <w:spacing w:after="0" w:line="300" w:lineRule="exact"/>
              <w:jc w:val="left"/>
              <w:rPr>
                <w:b/>
                <w:color w:val="000000"/>
                <w:kern w:val="2"/>
                <w:lang w:eastAsia="en-US"/>
                <w14:ligatures w14:val="standardContextual"/>
              </w:rPr>
            </w:pPr>
            <w:r w:rsidRPr="004F409E">
              <w:rPr>
                <w:b/>
                <w:color w:val="000000"/>
                <w:kern w:val="2"/>
                <w:lang w:eastAsia="en-US"/>
                <w14:ligatures w14:val="standardContextual"/>
              </w:rPr>
              <w:t>M. T.</w:t>
            </w:r>
          </w:p>
          <w:p w14:paraId="2B5EE230" w14:textId="5D5AD32D" w:rsidR="00026943" w:rsidRPr="004F409E" w:rsidRDefault="00026943" w:rsidP="00D13F3C">
            <w:pPr>
              <w:spacing w:after="0" w:line="300" w:lineRule="exact"/>
              <w:jc w:val="left"/>
              <w:rPr>
                <w:bCs/>
                <w:color w:val="000000"/>
                <w:kern w:val="2"/>
                <w:lang w:eastAsia="en-US"/>
                <w14:ligatures w14:val="standardContextual"/>
              </w:rPr>
            </w:pPr>
            <w:proofErr w:type="spellStart"/>
            <w:r w:rsidRPr="004F409E">
              <w:rPr>
                <w:bCs/>
                <w:color w:val="000000"/>
                <w:kern w:val="2"/>
                <w:lang w:eastAsia="en-US"/>
                <w14:ligatures w14:val="standardContextual"/>
              </w:rPr>
              <w:t>xxx</w:t>
            </w:r>
            <w:proofErr w:type="spellEnd"/>
          </w:p>
          <w:p w14:paraId="721810F8" w14:textId="25039073" w:rsidR="00026943" w:rsidRPr="004F409E" w:rsidRDefault="00026943" w:rsidP="00D13F3C">
            <w:pPr>
              <w:spacing w:after="0" w:line="300" w:lineRule="exact"/>
              <w:jc w:val="left"/>
              <w:rPr>
                <w:bCs/>
                <w:color w:val="000000"/>
                <w:kern w:val="2"/>
                <w:lang w:eastAsia="en-US"/>
                <w14:ligatures w14:val="standardContextual"/>
              </w:rPr>
            </w:pPr>
            <w:proofErr w:type="spellStart"/>
            <w:r w:rsidRPr="004F409E">
              <w:rPr>
                <w:bCs/>
                <w:color w:val="000000"/>
                <w:kern w:val="2"/>
                <w:lang w:eastAsia="en-US"/>
                <w14:ligatures w14:val="standardContextual"/>
              </w:rPr>
              <w:t>xxx</w:t>
            </w:r>
            <w:proofErr w:type="spellEnd"/>
          </w:p>
          <w:p w14:paraId="204FE984" w14:textId="77777777" w:rsidR="00026943" w:rsidRPr="004F409E" w:rsidRDefault="00026943" w:rsidP="00D13F3C">
            <w:pPr>
              <w:spacing w:after="0" w:line="300" w:lineRule="exact"/>
              <w:jc w:val="left"/>
              <w:rPr>
                <w:b/>
                <w:color w:val="000000"/>
                <w:kern w:val="2"/>
                <w:lang w:eastAsia="en-US"/>
                <w14:ligatures w14:val="standardContextual"/>
              </w:rPr>
            </w:pPr>
          </w:p>
        </w:tc>
      </w:tr>
      <w:tr w:rsidR="00026943" w:rsidRPr="004F409E" w14:paraId="1C07A990" w14:textId="77777777" w:rsidTr="00D13F3C">
        <w:trPr>
          <w:trHeight w:val="227"/>
        </w:trPr>
        <w:tc>
          <w:tcPr>
            <w:tcW w:w="1212" w:type="pct"/>
            <w:tcMar>
              <w:top w:w="0" w:type="dxa"/>
              <w:left w:w="108" w:type="dxa"/>
              <w:bottom w:w="57" w:type="dxa"/>
              <w:right w:w="108" w:type="dxa"/>
            </w:tcMar>
            <w:vAlign w:val="center"/>
            <w:hideMark/>
          </w:tcPr>
          <w:p w14:paraId="7D8466E8" w14:textId="77777777" w:rsidR="00026943" w:rsidRPr="004F409E" w:rsidRDefault="00026943" w:rsidP="00D13F3C">
            <w:pPr>
              <w:spacing w:line="254" w:lineRule="auto"/>
              <w:jc w:val="left"/>
              <w:rPr>
                <w:b/>
                <w:color w:val="000000"/>
                <w:kern w:val="2"/>
                <w:lang w:eastAsia="en-US"/>
                <w14:ligatures w14:val="standardContextual"/>
              </w:rPr>
            </w:pPr>
            <w:r w:rsidRPr="004F409E">
              <w:rPr>
                <w:b/>
                <w:color w:val="000000"/>
                <w:kern w:val="2"/>
                <w:lang w:eastAsia="en-US"/>
                <w14:ligatures w14:val="standardContextual"/>
              </w:rPr>
              <w:t>VAŠE ZNAČKA:</w:t>
            </w:r>
          </w:p>
        </w:tc>
        <w:tc>
          <w:tcPr>
            <w:tcW w:w="1212" w:type="pct"/>
            <w:tcBorders>
              <w:top w:val="nil"/>
              <w:left w:val="nil"/>
              <w:bottom w:val="nil"/>
              <w:right w:val="single" w:sz="4" w:space="0" w:color="auto"/>
            </w:tcBorders>
            <w:vAlign w:val="center"/>
          </w:tcPr>
          <w:p w14:paraId="5B6CBB8E" w14:textId="77777777" w:rsidR="00026943" w:rsidRPr="004F409E" w:rsidRDefault="00026943" w:rsidP="00D13F3C">
            <w:pPr>
              <w:pStyle w:val="Bezmezer"/>
              <w:spacing w:line="254" w:lineRule="auto"/>
              <w:ind w:firstLine="0"/>
              <w:jc w:val="left"/>
              <w:rPr>
                <w:rFonts w:ascii="Garamond" w:hAnsi="Garamond"/>
                <w:color w:val="000000"/>
                <w:kern w:val="2"/>
                <w:lang w:eastAsia="en-US"/>
                <w14:ligatures w14:val="standardContextual"/>
              </w:rPr>
            </w:pPr>
          </w:p>
        </w:tc>
        <w:tc>
          <w:tcPr>
            <w:tcW w:w="0" w:type="auto"/>
            <w:vMerge/>
            <w:tcBorders>
              <w:top w:val="nil"/>
              <w:left w:val="single" w:sz="4" w:space="0" w:color="auto"/>
              <w:bottom w:val="nil"/>
              <w:right w:val="nil"/>
            </w:tcBorders>
            <w:vAlign w:val="center"/>
            <w:hideMark/>
          </w:tcPr>
          <w:p w14:paraId="7564185D" w14:textId="77777777" w:rsidR="00026943" w:rsidRPr="004F409E" w:rsidRDefault="00026943" w:rsidP="00D13F3C">
            <w:pPr>
              <w:autoSpaceDE/>
              <w:autoSpaceDN/>
              <w:adjustRightInd/>
              <w:spacing w:after="0" w:line="256" w:lineRule="auto"/>
              <w:jc w:val="left"/>
              <w:rPr>
                <w:color w:val="000000"/>
                <w:kern w:val="2"/>
                <w:szCs w:val="22"/>
                <w:lang w:eastAsia="en-US"/>
                <w14:ligatures w14:val="standardContextual"/>
              </w:rPr>
            </w:pPr>
          </w:p>
        </w:tc>
      </w:tr>
      <w:tr w:rsidR="00026943" w:rsidRPr="004F409E" w14:paraId="5882A9BD" w14:textId="77777777" w:rsidTr="00D13F3C">
        <w:trPr>
          <w:trHeight w:val="227"/>
        </w:trPr>
        <w:tc>
          <w:tcPr>
            <w:tcW w:w="1212" w:type="pct"/>
            <w:tcMar>
              <w:top w:w="0" w:type="dxa"/>
              <w:left w:w="108" w:type="dxa"/>
              <w:bottom w:w="57" w:type="dxa"/>
              <w:right w:w="108" w:type="dxa"/>
            </w:tcMar>
            <w:vAlign w:val="center"/>
            <w:hideMark/>
          </w:tcPr>
          <w:p w14:paraId="6D00C3DD" w14:textId="77777777" w:rsidR="00026943" w:rsidRPr="004F409E" w:rsidRDefault="00026943" w:rsidP="00D13F3C">
            <w:pPr>
              <w:spacing w:line="254" w:lineRule="auto"/>
              <w:jc w:val="left"/>
              <w:rPr>
                <w:b/>
                <w:color w:val="000000"/>
                <w:kern w:val="2"/>
                <w:lang w:eastAsia="en-US"/>
                <w14:ligatures w14:val="standardContextual"/>
              </w:rPr>
            </w:pPr>
            <w:r w:rsidRPr="004F409E">
              <w:rPr>
                <w:b/>
                <w:color w:val="000000"/>
                <w:kern w:val="2"/>
                <w:lang w:eastAsia="en-US"/>
                <w14:ligatures w14:val="standardContextual"/>
              </w:rPr>
              <w:t>VYŘIZUJE:</w:t>
            </w:r>
          </w:p>
        </w:tc>
        <w:tc>
          <w:tcPr>
            <w:tcW w:w="1212" w:type="pct"/>
            <w:tcBorders>
              <w:top w:val="nil"/>
              <w:left w:val="nil"/>
              <w:bottom w:val="nil"/>
              <w:right w:val="single" w:sz="4" w:space="0" w:color="auto"/>
            </w:tcBorders>
            <w:vAlign w:val="center"/>
            <w:hideMark/>
          </w:tcPr>
          <w:p w14:paraId="5166EB39" w14:textId="77777777" w:rsidR="00026943" w:rsidRPr="004F409E" w:rsidRDefault="00026943" w:rsidP="00D13F3C">
            <w:pPr>
              <w:pStyle w:val="Bezmezer"/>
              <w:spacing w:line="254" w:lineRule="auto"/>
              <w:ind w:firstLine="0"/>
              <w:jc w:val="left"/>
              <w:rPr>
                <w:rFonts w:ascii="Garamond" w:hAnsi="Garamond"/>
                <w:color w:val="000000"/>
                <w:kern w:val="2"/>
                <w:lang w:eastAsia="en-US"/>
                <w14:ligatures w14:val="standardContextual"/>
              </w:rPr>
            </w:pPr>
            <w:r w:rsidRPr="004F409E">
              <w:rPr>
                <w:rFonts w:ascii="Garamond" w:hAnsi="Garamond"/>
                <w:color w:val="000000"/>
                <w:kern w:val="2"/>
                <w:lang w:eastAsia="en-US"/>
                <w14:ligatures w14:val="standardContextual"/>
              </w:rPr>
              <w:t>Mgr. Karin Kantorová</w:t>
            </w:r>
          </w:p>
        </w:tc>
        <w:tc>
          <w:tcPr>
            <w:tcW w:w="0" w:type="auto"/>
            <w:vMerge/>
            <w:tcBorders>
              <w:top w:val="nil"/>
              <w:left w:val="single" w:sz="4" w:space="0" w:color="auto"/>
              <w:bottom w:val="nil"/>
              <w:right w:val="nil"/>
            </w:tcBorders>
            <w:vAlign w:val="center"/>
            <w:hideMark/>
          </w:tcPr>
          <w:p w14:paraId="745ABFF2" w14:textId="77777777" w:rsidR="00026943" w:rsidRPr="004F409E" w:rsidRDefault="00026943" w:rsidP="00D13F3C">
            <w:pPr>
              <w:autoSpaceDE/>
              <w:autoSpaceDN/>
              <w:adjustRightInd/>
              <w:spacing w:after="0" w:line="256" w:lineRule="auto"/>
              <w:jc w:val="left"/>
              <w:rPr>
                <w:color w:val="000000"/>
                <w:kern w:val="2"/>
                <w:szCs w:val="22"/>
                <w:lang w:eastAsia="en-US"/>
                <w14:ligatures w14:val="standardContextual"/>
              </w:rPr>
            </w:pPr>
          </w:p>
        </w:tc>
      </w:tr>
      <w:tr w:rsidR="00026943" w:rsidRPr="004F409E" w14:paraId="2591E283" w14:textId="77777777" w:rsidTr="00D13F3C">
        <w:trPr>
          <w:trHeight w:val="227"/>
        </w:trPr>
        <w:tc>
          <w:tcPr>
            <w:tcW w:w="1212" w:type="pct"/>
            <w:tcMar>
              <w:top w:w="0" w:type="dxa"/>
              <w:left w:w="108" w:type="dxa"/>
              <w:bottom w:w="57" w:type="dxa"/>
              <w:right w:w="108" w:type="dxa"/>
            </w:tcMar>
            <w:vAlign w:val="center"/>
            <w:hideMark/>
          </w:tcPr>
          <w:p w14:paraId="27B69732" w14:textId="77777777" w:rsidR="00026943" w:rsidRPr="004F409E" w:rsidRDefault="00026943" w:rsidP="00D13F3C">
            <w:pPr>
              <w:spacing w:line="254" w:lineRule="auto"/>
              <w:jc w:val="left"/>
              <w:rPr>
                <w:b/>
                <w:color w:val="000000"/>
                <w:kern w:val="2"/>
                <w:lang w:eastAsia="en-US"/>
                <w14:ligatures w14:val="standardContextual"/>
              </w:rPr>
            </w:pPr>
            <w:r w:rsidRPr="004F409E">
              <w:rPr>
                <w:b/>
                <w:color w:val="000000"/>
                <w:kern w:val="2"/>
                <w:lang w:eastAsia="en-US"/>
                <w14:ligatures w14:val="standardContextual"/>
              </w:rPr>
              <w:t>DNE:</w:t>
            </w:r>
          </w:p>
        </w:tc>
        <w:tc>
          <w:tcPr>
            <w:tcW w:w="1212" w:type="pct"/>
            <w:tcBorders>
              <w:top w:val="nil"/>
              <w:left w:val="nil"/>
              <w:bottom w:val="nil"/>
              <w:right w:val="single" w:sz="4" w:space="0" w:color="auto"/>
            </w:tcBorders>
            <w:vAlign w:val="center"/>
            <w:hideMark/>
          </w:tcPr>
          <w:p w14:paraId="22D32358" w14:textId="77777777" w:rsidR="00026943" w:rsidRPr="004F409E" w:rsidRDefault="00026943" w:rsidP="00D13F3C">
            <w:pPr>
              <w:pStyle w:val="Bezmezer"/>
              <w:spacing w:line="254" w:lineRule="auto"/>
              <w:ind w:firstLine="0"/>
              <w:jc w:val="left"/>
              <w:rPr>
                <w:rFonts w:ascii="Garamond" w:hAnsi="Garamond"/>
                <w:color w:val="000000"/>
                <w:kern w:val="2"/>
                <w:lang w:eastAsia="en-US"/>
                <w14:ligatures w14:val="standardContextual"/>
              </w:rPr>
            </w:pPr>
            <w:r w:rsidRPr="004F409E">
              <w:rPr>
                <w:rFonts w:ascii="Garamond" w:hAnsi="Garamond"/>
                <w:color w:val="000000"/>
                <w:kern w:val="2"/>
                <w:lang w:eastAsia="en-US"/>
                <w14:ligatures w14:val="standardContextual"/>
              </w:rPr>
              <w:t>24. července 2024</w:t>
            </w:r>
          </w:p>
        </w:tc>
        <w:tc>
          <w:tcPr>
            <w:tcW w:w="0" w:type="auto"/>
            <w:vMerge/>
            <w:tcBorders>
              <w:top w:val="nil"/>
              <w:left w:val="single" w:sz="4" w:space="0" w:color="auto"/>
              <w:bottom w:val="nil"/>
              <w:right w:val="nil"/>
            </w:tcBorders>
            <w:vAlign w:val="center"/>
            <w:hideMark/>
          </w:tcPr>
          <w:p w14:paraId="18FFBA11" w14:textId="77777777" w:rsidR="00026943" w:rsidRPr="004F409E" w:rsidRDefault="00026943" w:rsidP="00D13F3C">
            <w:pPr>
              <w:autoSpaceDE/>
              <w:autoSpaceDN/>
              <w:adjustRightInd/>
              <w:spacing w:after="0" w:line="256" w:lineRule="auto"/>
              <w:jc w:val="left"/>
              <w:rPr>
                <w:color w:val="000000"/>
                <w:kern w:val="2"/>
                <w:szCs w:val="22"/>
                <w:lang w:eastAsia="en-US"/>
                <w14:ligatures w14:val="standardContextual"/>
              </w:rPr>
            </w:pPr>
          </w:p>
        </w:tc>
      </w:tr>
    </w:tbl>
    <w:p w14:paraId="68AB883D" w14:textId="77777777" w:rsidR="00026943" w:rsidRPr="004F409E" w:rsidRDefault="00026943" w:rsidP="00026943">
      <w:pPr>
        <w:jc w:val="left"/>
        <w:rPr>
          <w:b/>
          <w:color w:val="000000"/>
        </w:rPr>
      </w:pPr>
    </w:p>
    <w:p w14:paraId="17968566" w14:textId="77777777" w:rsidR="00026943" w:rsidRPr="004F409E" w:rsidRDefault="00026943" w:rsidP="00026943">
      <w:pPr>
        <w:rPr>
          <w:b/>
          <w:color w:val="000000"/>
        </w:rPr>
      </w:pPr>
      <w:r w:rsidRPr="004F409E">
        <w:rPr>
          <w:b/>
          <w:color w:val="000000"/>
        </w:rPr>
        <w:t>Poskytnutí informace podle § 14 odst. 5 písm. d) zák. č. 106/1999 Sb., o svobodném přístupu k informacím, ve znění pozdějších předpisů</w:t>
      </w:r>
    </w:p>
    <w:p w14:paraId="0488497D" w14:textId="77777777" w:rsidR="00026943" w:rsidRPr="004F409E" w:rsidRDefault="00026943" w:rsidP="00026943">
      <w:pPr>
        <w:ind w:left="2127" w:hanging="2127"/>
        <w:jc w:val="left"/>
        <w:rPr>
          <w:color w:val="000000"/>
        </w:rPr>
      </w:pPr>
    </w:p>
    <w:p w14:paraId="7B77F30F" w14:textId="6A4E3886" w:rsidR="00026943" w:rsidRPr="004F409E" w:rsidRDefault="00026943" w:rsidP="00026943">
      <w:pPr>
        <w:rPr>
          <w:color w:val="000000"/>
        </w:rPr>
      </w:pPr>
      <w:r w:rsidRPr="004F409E">
        <w:rPr>
          <w:color w:val="000000"/>
        </w:rPr>
        <w:t>Vážený pane T.,</w:t>
      </w:r>
    </w:p>
    <w:p w14:paraId="43B47E8F" w14:textId="77777777" w:rsidR="00026943" w:rsidRPr="004F409E" w:rsidRDefault="00026943" w:rsidP="00026943">
      <w:pPr>
        <w:rPr>
          <w:color w:val="000000"/>
        </w:rPr>
      </w:pPr>
    </w:p>
    <w:p w14:paraId="7E681461" w14:textId="77777777" w:rsidR="00026943" w:rsidRPr="004F409E" w:rsidRDefault="00026943" w:rsidP="00026943">
      <w:pPr>
        <w:rPr>
          <w:i/>
          <w:iCs/>
          <w:color w:val="000000"/>
        </w:rPr>
      </w:pPr>
      <w:r w:rsidRPr="004F409E">
        <w:rPr>
          <w:color w:val="000000"/>
        </w:rPr>
        <w:t>Okresní soud ve Frýdku-Místku obdržel dne 15. 7. 2024 Vaši žádost, která podle svého obsahu spadá pod zákon č. 106/1999 Sb., o svobodném přístupu k informacím, ve znění pozdějších předpisů (dále jen "</w:t>
      </w:r>
      <w:proofErr w:type="spellStart"/>
      <w:r w:rsidRPr="004F409E">
        <w:rPr>
          <w:color w:val="000000"/>
        </w:rPr>
        <w:t>InfZ</w:t>
      </w:r>
      <w:proofErr w:type="spellEnd"/>
      <w:r w:rsidRPr="004F409E">
        <w:rPr>
          <w:color w:val="000000"/>
        </w:rPr>
        <w:t xml:space="preserve">"), v níž se domáháte poskytnutí </w:t>
      </w:r>
      <w:r w:rsidRPr="004F409E">
        <w:rPr>
          <w:i/>
          <w:iCs/>
          <w:color w:val="000000"/>
        </w:rPr>
        <w:t>anonymizovaných rozhodnutí vydaných v období od 1. 1. 2018 do 30. 6. 2024, v jejichž písemném vyhotovení se nachází sousloví domácí či partnerské násilí, a to v jakékoliv z jeho možných tvaroslovných forem. Dále jste požádal o poskytnutí anonymizovaných rozhodnutí, jejichž předmětem bylo posouzení dědické (ne)způsobilosti, pokud čin povahy úmyslného trestného činu proti zůstaviteli naplnil podle žalobních tvrzení skutkovou podstatu trestného činu týrání svěřené osoby nebo trestného činu týrání osoby žijící ve společném obydlí podle § 198 a § 199 zákona č. 40/2009 Sb., trestního zákoníku.</w:t>
      </w:r>
    </w:p>
    <w:p w14:paraId="79E2C4AC" w14:textId="77777777" w:rsidR="00026943" w:rsidRPr="004F409E" w:rsidRDefault="00026943" w:rsidP="00026943">
      <w:pPr>
        <w:rPr>
          <w:i/>
          <w:color w:val="000000"/>
        </w:rPr>
      </w:pPr>
    </w:p>
    <w:p w14:paraId="0B9FE902" w14:textId="77777777" w:rsidR="00026943" w:rsidRPr="004F409E" w:rsidRDefault="00026943" w:rsidP="00026943">
      <w:pPr>
        <w:rPr>
          <w:color w:val="000000"/>
        </w:rPr>
      </w:pPr>
      <w:r w:rsidRPr="004F409E">
        <w:rPr>
          <w:color w:val="000000"/>
        </w:rPr>
        <w:t xml:space="preserve">Vaší žádosti bylo zcela vyhověno v souladu s ustanovením § 14 odst. 5 písm. d) </w:t>
      </w:r>
      <w:proofErr w:type="spellStart"/>
      <w:r w:rsidRPr="004F409E">
        <w:rPr>
          <w:color w:val="000000"/>
        </w:rPr>
        <w:t>InfZ</w:t>
      </w:r>
      <w:proofErr w:type="spellEnd"/>
      <w:r w:rsidRPr="004F409E">
        <w:rPr>
          <w:color w:val="000000"/>
        </w:rPr>
        <w:t>. Anonymizované rozsudky Vám zasíláme v příloze.</w:t>
      </w:r>
    </w:p>
    <w:p w14:paraId="10BAA235" w14:textId="77777777" w:rsidR="00026943" w:rsidRPr="004F409E" w:rsidRDefault="00026943" w:rsidP="00026943">
      <w:pPr>
        <w:rPr>
          <w:color w:val="000000"/>
        </w:rPr>
      </w:pPr>
    </w:p>
    <w:p w14:paraId="62ED92BC" w14:textId="77777777" w:rsidR="00026943" w:rsidRPr="004F409E" w:rsidRDefault="00026943" w:rsidP="00026943">
      <w:pPr>
        <w:rPr>
          <w:color w:val="000000"/>
        </w:rPr>
      </w:pPr>
      <w:r w:rsidRPr="004F409E">
        <w:rPr>
          <w:color w:val="000000"/>
        </w:rPr>
        <w:t>Tímto považujeme Vaši žádost za zcela vyřízenou.</w:t>
      </w:r>
    </w:p>
    <w:p w14:paraId="4F231B13" w14:textId="77777777" w:rsidR="00026943" w:rsidRPr="004F409E" w:rsidRDefault="00026943" w:rsidP="00026943">
      <w:pPr>
        <w:rPr>
          <w:color w:val="000000"/>
        </w:rPr>
      </w:pPr>
    </w:p>
    <w:p w14:paraId="10D28D82" w14:textId="77777777" w:rsidR="00026943" w:rsidRPr="004F409E" w:rsidRDefault="00026943" w:rsidP="00026943">
      <w:pPr>
        <w:rPr>
          <w:color w:val="000000"/>
        </w:rPr>
      </w:pPr>
    </w:p>
    <w:p w14:paraId="788B7363" w14:textId="77777777" w:rsidR="00026943" w:rsidRPr="004F409E" w:rsidRDefault="00026943" w:rsidP="00026943">
      <w:pPr>
        <w:rPr>
          <w:color w:val="000000"/>
        </w:rPr>
      </w:pPr>
      <w:r w:rsidRPr="004F409E">
        <w:rPr>
          <w:color w:val="000000"/>
        </w:rPr>
        <w:t>S pozdravem</w:t>
      </w:r>
    </w:p>
    <w:p w14:paraId="18D6A1E4" w14:textId="77777777" w:rsidR="00026943" w:rsidRPr="004F409E" w:rsidRDefault="00026943" w:rsidP="00026943">
      <w:pPr>
        <w:tabs>
          <w:tab w:val="center" w:pos="6379"/>
        </w:tabs>
        <w:spacing w:after="0"/>
        <w:rPr>
          <w:color w:val="000000"/>
        </w:rPr>
      </w:pPr>
    </w:p>
    <w:p w14:paraId="7D0D644B" w14:textId="77777777" w:rsidR="00026943" w:rsidRPr="004F409E" w:rsidRDefault="00026943" w:rsidP="00026943">
      <w:pPr>
        <w:tabs>
          <w:tab w:val="center" w:pos="6379"/>
        </w:tabs>
        <w:spacing w:after="0"/>
        <w:rPr>
          <w:b/>
          <w:color w:val="000000"/>
        </w:rPr>
      </w:pPr>
    </w:p>
    <w:p w14:paraId="05CD817E" w14:textId="77777777" w:rsidR="00026943" w:rsidRPr="004F409E" w:rsidRDefault="00026943" w:rsidP="00026943">
      <w:pPr>
        <w:tabs>
          <w:tab w:val="center" w:pos="6379"/>
        </w:tabs>
        <w:spacing w:after="0"/>
        <w:rPr>
          <w:b/>
          <w:color w:val="000000"/>
        </w:rPr>
      </w:pPr>
    </w:p>
    <w:p w14:paraId="37ED7625" w14:textId="090201D8" w:rsidR="00026943" w:rsidRPr="004F409E" w:rsidRDefault="00026943" w:rsidP="00026943">
      <w:pPr>
        <w:tabs>
          <w:tab w:val="center" w:pos="6379"/>
        </w:tabs>
        <w:spacing w:after="0"/>
        <w:rPr>
          <w:color w:val="000000"/>
        </w:rPr>
      </w:pPr>
      <w:r w:rsidRPr="004F409E">
        <w:rPr>
          <w:b/>
          <w:color w:val="000000"/>
        </w:rPr>
        <w:t>Mgr. Karin Kantorová</w:t>
      </w:r>
      <w:r w:rsidR="009065AF" w:rsidRPr="004F409E">
        <w:rPr>
          <w:b/>
          <w:color w:val="000000"/>
        </w:rPr>
        <w:t xml:space="preserve"> v. r. </w:t>
      </w:r>
    </w:p>
    <w:p w14:paraId="2BDA4C33" w14:textId="77777777" w:rsidR="00026943" w:rsidRPr="004F409E" w:rsidRDefault="00026943" w:rsidP="00026943">
      <w:pPr>
        <w:tabs>
          <w:tab w:val="center" w:pos="6379"/>
        </w:tabs>
        <w:spacing w:after="0"/>
        <w:rPr>
          <w:color w:val="000000"/>
        </w:rPr>
      </w:pPr>
      <w:r w:rsidRPr="004F409E">
        <w:rPr>
          <w:color w:val="000000"/>
        </w:rPr>
        <w:t>justiční čekatelka</w:t>
      </w:r>
    </w:p>
    <w:p w14:paraId="70AA0370" w14:textId="77777777" w:rsidR="00026943" w:rsidRPr="004F409E" w:rsidRDefault="00026943" w:rsidP="00026943">
      <w:pPr>
        <w:tabs>
          <w:tab w:val="center" w:pos="6379"/>
        </w:tabs>
        <w:spacing w:after="0"/>
        <w:rPr>
          <w:color w:val="000000"/>
        </w:rPr>
      </w:pPr>
      <w:r w:rsidRPr="004F409E">
        <w:rPr>
          <w:color w:val="000000"/>
        </w:rPr>
        <w:t>pověřená vyřizováním žádosti</w:t>
      </w:r>
    </w:p>
    <w:p w14:paraId="4552C165" w14:textId="77777777" w:rsidR="00026943" w:rsidRPr="004F409E" w:rsidRDefault="00026943" w:rsidP="00026943">
      <w:pPr>
        <w:tabs>
          <w:tab w:val="center" w:pos="6379"/>
        </w:tabs>
        <w:spacing w:after="0"/>
        <w:rPr>
          <w:color w:val="000000"/>
        </w:rPr>
      </w:pPr>
      <w:r w:rsidRPr="004F409E">
        <w:rPr>
          <w:color w:val="000000"/>
        </w:rPr>
        <w:t>dle zák. č. 106/1999 Sb.</w:t>
      </w:r>
    </w:p>
    <w:p w14:paraId="12D21424" w14:textId="77777777" w:rsidR="00026943" w:rsidRPr="004F409E" w:rsidRDefault="00026943" w:rsidP="00026943">
      <w:pPr>
        <w:tabs>
          <w:tab w:val="center" w:pos="6379"/>
        </w:tabs>
        <w:spacing w:after="0"/>
        <w:rPr>
          <w:color w:val="000000"/>
        </w:rPr>
      </w:pPr>
    </w:p>
    <w:p w14:paraId="746A1E82" w14:textId="77777777" w:rsidR="006B5421" w:rsidRPr="004F409E" w:rsidRDefault="006B5421"/>
    <w:sectPr w:rsidR="006B5421" w:rsidRPr="004F409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F946" w14:textId="77777777" w:rsidR="00F67825" w:rsidRDefault="00F67825" w:rsidP="009065AF">
      <w:pPr>
        <w:spacing w:after="0"/>
      </w:pPr>
      <w:r>
        <w:separator/>
      </w:r>
    </w:p>
  </w:endnote>
  <w:endnote w:type="continuationSeparator" w:id="0">
    <w:p w14:paraId="79995873" w14:textId="77777777" w:rsidR="00F67825" w:rsidRDefault="00F67825" w:rsidP="009065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8961" w14:textId="3FA79029" w:rsidR="009065AF" w:rsidRDefault="009065AF">
    <w:pPr>
      <w:pStyle w:val="Zpat"/>
    </w:pPr>
    <w:r>
      <w:t xml:space="preserve">Shodu s prvopisem potvrzuje Iveta Jakubowská.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089A" w14:textId="77777777" w:rsidR="00F67825" w:rsidRDefault="00F67825" w:rsidP="009065AF">
      <w:pPr>
        <w:spacing w:after="0"/>
      </w:pPr>
      <w:r>
        <w:separator/>
      </w:r>
    </w:p>
  </w:footnote>
  <w:footnote w:type="continuationSeparator" w:id="0">
    <w:p w14:paraId="29B569AD" w14:textId="77777777" w:rsidR="00F67825" w:rsidRDefault="00F67825" w:rsidP="009065A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65_2024 a. přípis.docx 2024/07/24 14:22:44"/>
    <w:docVar w:name="DOKUMENT_ADRESAR_FS" w:val="C:\TMP\DB"/>
    <w:docVar w:name="DOKUMENT_AUTOMATICKE_UKLADANI" w:val="NE"/>
    <w:docVar w:name="DOKUMENT_PERIODA_UKLADANI" w:val="5"/>
    <w:docVar w:name="DOKUMENT_ULOZIT_JAKO_DOCX" w:val="NE"/>
  </w:docVars>
  <w:rsids>
    <w:rsidRoot w:val="00026943"/>
    <w:rsid w:val="00026943"/>
    <w:rsid w:val="004F409E"/>
    <w:rsid w:val="006B5421"/>
    <w:rsid w:val="009065AF"/>
    <w:rsid w:val="009A23FE"/>
    <w:rsid w:val="00AA6EB0"/>
    <w:rsid w:val="00F46661"/>
    <w:rsid w:val="00F67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F986"/>
  <w15:chartTrackingRefBased/>
  <w15:docId w15:val="{E2E6D117-7943-4953-8724-DC2C925C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6943"/>
    <w:pPr>
      <w:autoSpaceDE w:val="0"/>
      <w:autoSpaceDN w:val="0"/>
      <w:adjustRightInd w:val="0"/>
      <w:spacing w:after="120" w:line="240" w:lineRule="auto"/>
      <w:jc w:val="both"/>
    </w:pPr>
    <w:rPr>
      <w:rFonts w:ascii="Garamond" w:eastAsia="Times New Roman" w:hAnsi="Garamond" w:cs="Times New Roman"/>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26943"/>
    <w:pPr>
      <w:autoSpaceDE w:val="0"/>
      <w:autoSpaceDN w:val="0"/>
      <w:adjustRightInd w:val="0"/>
      <w:spacing w:after="0" w:line="240" w:lineRule="auto"/>
      <w:ind w:firstLine="709"/>
      <w:jc w:val="both"/>
    </w:pPr>
    <w:rPr>
      <w:rFonts w:ascii="Calibri" w:eastAsia="Times New Roman" w:hAnsi="Calibri" w:cs="Times New Roman"/>
      <w:kern w:val="0"/>
      <w:szCs w:val="20"/>
      <w:lang w:eastAsia="cs-CZ"/>
      <w14:ligatures w14:val="none"/>
    </w:rPr>
  </w:style>
  <w:style w:type="paragraph" w:styleId="Zhlav">
    <w:name w:val="header"/>
    <w:basedOn w:val="Normln"/>
    <w:link w:val="ZhlavChar"/>
    <w:uiPriority w:val="99"/>
    <w:unhideWhenUsed/>
    <w:rsid w:val="009065AF"/>
    <w:pPr>
      <w:tabs>
        <w:tab w:val="center" w:pos="4536"/>
        <w:tab w:val="right" w:pos="9072"/>
      </w:tabs>
      <w:spacing w:after="0"/>
    </w:pPr>
  </w:style>
  <w:style w:type="character" w:customStyle="1" w:styleId="ZhlavChar">
    <w:name w:val="Záhlaví Char"/>
    <w:basedOn w:val="Standardnpsmoodstavce"/>
    <w:link w:val="Zhlav"/>
    <w:uiPriority w:val="99"/>
    <w:rsid w:val="009065AF"/>
    <w:rPr>
      <w:rFonts w:ascii="Garamond" w:eastAsia="Times New Roman" w:hAnsi="Garamond" w:cs="Times New Roman"/>
      <w:kern w:val="0"/>
      <w:sz w:val="24"/>
      <w:szCs w:val="20"/>
      <w:lang w:eastAsia="cs-CZ"/>
      <w14:ligatures w14:val="none"/>
    </w:rPr>
  </w:style>
  <w:style w:type="paragraph" w:styleId="Zpat">
    <w:name w:val="footer"/>
    <w:basedOn w:val="Normln"/>
    <w:link w:val="ZpatChar"/>
    <w:uiPriority w:val="99"/>
    <w:unhideWhenUsed/>
    <w:rsid w:val="009065AF"/>
    <w:pPr>
      <w:tabs>
        <w:tab w:val="center" w:pos="4536"/>
        <w:tab w:val="right" w:pos="9072"/>
      </w:tabs>
      <w:spacing w:after="0"/>
    </w:pPr>
  </w:style>
  <w:style w:type="character" w:customStyle="1" w:styleId="ZpatChar">
    <w:name w:val="Zápatí Char"/>
    <w:basedOn w:val="Standardnpsmoodstavce"/>
    <w:link w:val="Zpat"/>
    <w:uiPriority w:val="99"/>
    <w:rsid w:val="009065AF"/>
    <w:rPr>
      <w:rFonts w:ascii="Garamond" w:eastAsia="Times New Roman" w:hAnsi="Garamond" w:cs="Times New Roman"/>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1</TotalTime>
  <Pages>1</Pages>
  <Words>228</Words>
  <Characters>1347</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Kantorová Karin Mgr</dc:creator>
  <cp:keywords/>
  <dc:description/>
  <cp:lastModifiedBy>Brabcová Věra</cp:lastModifiedBy>
  <cp:revision>2</cp:revision>
  <cp:lastPrinted>2024-07-29T11:38:00Z</cp:lastPrinted>
  <dcterms:created xsi:type="dcterms:W3CDTF">2024-08-05T12:09:00Z</dcterms:created>
  <dcterms:modified xsi:type="dcterms:W3CDTF">2024-08-05T12:09:00Z</dcterms:modified>
</cp:coreProperties>
</file>